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before="2000"/>
        <w:jc w:val="center"/>
      </w:pPr>
      <w:r>
        <w:rPr>
          <w:rFonts w:ascii="Inter" w:cs="Inter" w:eastAsia="Inter" w:hAnsi="Inter"/>
          <w:b/>
          <w:bCs/>
          <w:color w:val="D97706"/>
          <w:sz w:val="22"/>
          <w:szCs w:val="22"/>
        </w:rPr>
        <w:t xml:space="preserve">ARCUS, INC.</w:t>
      </w:r>
    </w:p>
    <w:p>
      <w:pPr>
        <w:spacing w:after="120"/>
        <w:jc w:val="center"/>
      </w:pPr>
      <w:r>
        <w:rPr>
          <w:rFonts w:ascii="Inter" w:cs="Inter" w:eastAsia="Inter" w:hAnsi="Inter"/>
          <w:b/>
          <w:bCs/>
          <w:color w:val="1E2761"/>
          <w:sz w:val="56"/>
          <w:szCs w:val="56"/>
        </w:rPr>
        <w:t xml:space="preserve">Management Q&amp;A</w:t>
      </w:r>
    </w:p>
    <w:p>
      <w:pPr>
        <w:spacing w:after="240"/>
        <w:jc w:val="center"/>
      </w:pPr>
      <w:r>
        <w:rPr>
          <w:rFonts w:ascii="Inter" w:cs="Inter" w:eastAsia="Inter" w:hAnsi="Inter"/>
          <w:i/>
          <w:iCs/>
          <w:color w:val="0F172A"/>
          <w:sz w:val="26"/>
          <w:szCs w:val="26"/>
        </w:rPr>
        <w:t xml:space="preserve">Responses to Investor Due Diligence Questions</w:t>
      </w:r>
    </w:p>
    <w:p>
      <w:pPr>
        <w:spacing w:after="2000"/>
        <w:jc w:val="center"/>
      </w:pPr>
      <w:r>
        <w:rPr>
          <w:rFonts w:ascii="Inter" w:cs="Inter" w:eastAsia="Inter" w:hAnsi="Inter"/>
          <w:color w:val="6B7280"/>
          <w:sz w:val="22"/>
          <w:szCs w:val="22"/>
        </w:rPr>
        <w:t xml:space="preserve">Project Atlas · Series B · Strictly Confidential</w:t>
      </w:r>
    </w:p>
    <w:p>
      <w:pPr>
        <w:spacing w:after="80"/>
        <w:jc w:val="center"/>
      </w:pPr>
      <w:r>
        <w:rPr>
          <w:rFonts w:ascii="Inter" w:cs="Inter" w:eastAsia="Inter" w:hAnsi="Inter"/>
          <w:color w:val="0F172A"/>
          <w:sz w:val="20"/>
          <w:szCs w:val="20"/>
        </w:rPr>
        <w:t xml:space="preserve">Prepared by Arcus Management Team</w:t>
      </w:r>
    </w:p>
    <w:p>
      <w:pPr>
        <w:spacing w:after="80"/>
        <w:jc w:val="center"/>
      </w:pPr>
      <w:r>
        <w:rPr>
          <w:rFonts w:ascii="Inter" w:cs="Inter" w:eastAsia="Inter" w:hAnsi="Inter"/>
          <w:color w:val="6B7280"/>
          <w:sz w:val="18"/>
          <w:szCs w:val="18"/>
        </w:rPr>
        <w:t xml:space="preserve">Reviewed by: Sarah Chen (CEO), David Patel (CRO), Elena Vasquez (CFO)</w:t>
      </w:r>
    </w:p>
    <w:p>
      <w:pPr>
        <w:jc w:val="center"/>
      </w:pPr>
      <w:r>
        <w:rPr>
          <w:rFonts w:ascii="Inter" w:cs="Inter" w:eastAsia="Inter" w:hAnsi="Inter"/>
          <w:color w:val="6B7280"/>
          <w:sz w:val="18"/>
          <w:szCs w:val="18"/>
        </w:rPr>
        <w:t xml:space="preserve">Dated: April 8, 2026</w:t>
      </w:r>
    </w:p>
    <w:p>
      <w:r>
        <w:br w:type="page"/>
      </w:r>
    </w:p>
    <w:p>
      <w:pPr>
        <w:pStyle w:val="Heading1"/>
        <w:spacing w:after="180" w:before="360"/>
      </w:pPr>
      <w:r>
        <w:rPr>
          <w:rFonts w:ascii="Inter" w:cs="Inter" w:eastAsia="Inter" w:hAnsi="Inter"/>
          <w:b/>
          <w:bCs/>
          <w:color w:val="1E2761"/>
          <w:sz w:val="32"/>
          <w:szCs w:val="32"/>
        </w:rPr>
        <w:t xml:space="preserve">About This Document</w:t>
      </w:r>
    </w:p>
    <w:p>
      <w:pPr>
        <w:spacing w:after="120" w:line="300"/>
      </w:pPr>
      <w:r>
        <w:rPr>
          <w:rFonts w:ascii="Inter" w:cs="Inter" w:eastAsia="Inter" w:hAnsi="Inter"/>
          <w:color w:val="0F172A"/>
          <w:sz w:val="20"/>
          <w:szCs w:val="20"/>
        </w:rPr>
        <w:t xml:space="preserve">This document addresses the 48 diligence questions submitted by 3i Growth Partners on March 24, 2026, prior to our April 12, 2026 management meeting. Responses are organized into eight sections: (1) Company &amp; Strategy, (2) Product &amp; Technology, (3) Go-to-Market &amp; Sales, (4) Customers &amp; Retention, (5) Financial Performance, (6) Team &amp; Culture, (7) Risk &amp; Compliance, and (8) Transaction. Supporting schedules, reports, and workpapers are cross-referenced to the data room index (see README tab in root folder).</w:t>
      </w:r>
    </w:p>
    <w:p>
      <w:pPr>
        <w:spacing w:after="120" w:line="300"/>
      </w:pPr>
      <w:r>
        <w:rPr>
          <w:rFonts w:ascii="Inter" w:cs="Inter" w:eastAsia="Inter" w:hAnsi="Inter"/>
          <w:color w:val="0F172A"/>
          <w:sz w:val="20"/>
          <w:szCs w:val="20"/>
        </w:rPr>
        <w:t xml:space="preserve">Where our responses reference financial or operating metrics, all figures are unaudited except where noted as deriving from our PwC-audited FY2024 and FY2025 financial statements. Trailing-twelve-month metrics are calculated as of March 31, 2026 unless otherwise stated. Any forward-looking statements reflect management's best judgment as of this date and are subject to the risks and assumptions detailed in the Financial Model.</w:t>
      </w:r>
    </w:p>
    <w:p>
      <w:pPr>
        <w:spacing w:after="100"/>
      </w:pPr>
      <w:r>
        <w:rPr>
          <w:rFonts w:ascii="Inter" w:cs="Inter" w:eastAsia="Inter" w:hAnsi="Inter"/>
          <w:i/>
          <w:iCs/>
          <w:color w:val="6B7280"/>
          <w:sz w:val="18"/>
          <w:szCs w:val="18"/>
        </w:rPr>
        <w:t xml:space="preserve">Unless otherwise noted, all references to the 'Company,' 'we,' 'our,' or 'Arcus' refer to Arcus, Inc., a Delaware C-corporation.</w:t>
      </w:r>
    </w:p>
    <w:p>
      <w:r>
        <w:br w:type="page"/>
      </w:r>
    </w:p>
    <w:p>
      <w:pPr>
        <w:pStyle w:val="Heading1"/>
        <w:spacing w:after="180" w:before="360"/>
      </w:pPr>
      <w:r>
        <w:rPr>
          <w:rFonts w:ascii="Inter" w:cs="Inter" w:eastAsia="Inter" w:hAnsi="Inter"/>
          <w:b/>
          <w:bCs/>
          <w:color w:val="1E2761"/>
          <w:sz w:val="32"/>
          <w:szCs w:val="32"/>
        </w:rPr>
        <w:t xml:space="preserve">1. Company &amp; Strategy</w:t>
      </w:r>
    </w:p>
    <w:p>
      <w:pPr>
        <w:spacing w:after="80" w:before="200"/>
      </w:pPr>
      <w:r>
        <w:rPr>
          <w:rFonts w:ascii="Inter" w:cs="Inter" w:eastAsia="Inter" w:hAnsi="Inter"/>
          <w:b/>
          <w:bCs/>
          <w:color w:val="0F172A"/>
          <w:sz w:val="20"/>
          <w:szCs w:val="20"/>
        </w:rPr>
        <w:t xml:space="preserve">Q: Please describe Arcus in one paragraph, as you would want a new board member to understand it.</w:t>
      </w:r>
    </w:p>
    <w:p>
      <w:pPr>
        <w:spacing w:after="160" w:line="300"/>
        <w:ind w:left="240"/>
      </w:pPr>
      <w:r>
        <w:rPr>
          <w:rFonts w:ascii="Inter" w:cs="Inter" w:eastAsia="Inter" w:hAnsi="Inter"/>
          <w:b/>
          <w:bCs/>
          <w:color w:val="D97706"/>
          <w:sz w:val="20"/>
          <w:szCs w:val="20"/>
        </w:rPr>
        <w:t xml:space="preserve">A: </w:t>
      </w:r>
      <w:r>
        <w:rPr>
          <w:rFonts w:ascii="Inter" w:cs="Inter" w:eastAsia="Inter" w:hAnsi="Inter"/>
          <w:color w:val="0F172A"/>
          <w:sz w:val="20"/>
          <w:szCs w:val="20"/>
        </w:rPr>
        <w:t xml:space="preserve">Arcus is the AI-powered supply chain control tower for mid-market and enterprise operators. We unify real-time shipment and inventory visibility (Arcus Visibility), ML-driven disruption prediction (Arcus Signal), and GenAI autonomous execution (Arcus Autopilot) on a single platform with more than 200 prebuilt connectors to ERPs, TMSs, carriers, and supplier systems. We serve 95 active customers, including Meridian Global Logistics, Kalberg Industries, and Harbor Freight &amp; Supply, with $18.0M in ARR as of March 31, 2026, growing approximately 62% year-over-year. Our strategic thesis is that legacy ERP modules (SAP IBP, Oracle SCM Cloud) are too slow and too rigid for a world of compounding supply shocks, and that point-solution visibility tools (Project44, FourKites) cannot close the loop into action. Arcus is the only platform built natively across visibility, prediction, and autonomous action, positioning us to capture the next generation of supply chain spend as ERPs retreat back to the system-of-record layer.</w:t>
      </w:r>
    </w:p>
    <w:p>
      <w:pPr>
        <w:spacing w:after="80" w:before="200"/>
      </w:pPr>
      <w:r>
        <w:rPr>
          <w:rFonts w:ascii="Inter" w:cs="Inter" w:eastAsia="Inter" w:hAnsi="Inter"/>
          <w:b/>
          <w:bCs/>
          <w:color w:val="0F172A"/>
          <w:sz w:val="20"/>
          <w:szCs w:val="20"/>
        </w:rPr>
        <w:t xml:space="preserve">Q: What is your mission and three-year vision?</w:t>
      </w:r>
    </w:p>
    <w:p>
      <w:pPr>
        <w:spacing w:after="160" w:line="300"/>
        <w:ind w:left="240"/>
      </w:pPr>
      <w:r>
        <w:rPr>
          <w:rFonts w:ascii="Inter" w:cs="Inter" w:eastAsia="Inter" w:hAnsi="Inter"/>
          <w:b/>
          <w:bCs/>
          <w:color w:val="D97706"/>
          <w:sz w:val="20"/>
          <w:szCs w:val="20"/>
        </w:rPr>
        <w:t xml:space="preserve">A: </w:t>
      </w:r>
      <w:r>
        <w:rPr>
          <w:rFonts w:ascii="Inter" w:cs="Inter" w:eastAsia="Inter" w:hAnsi="Inter"/>
          <w:color w:val="0F172A"/>
          <w:sz w:val="20"/>
          <w:szCs w:val="20"/>
        </w:rPr>
        <w:t xml:space="preserve">Our mission is to make supply chains self-healing: able to anticipate and correct disruptions before they impact revenue, cost, or customer experience. Our three-year vision (2026–2028) is to become the default operating layer for supply chain decision-making at 500+ mid-market and enterprise customers, with $72M in ARR by December 31, 2027 and $115M by December 31, 2028 (see Financial Model Tab 6 — Projections). We expect 40% of customers to have Arcus Autopilot in production by end of 2027, executing an average of 28 autonomous actions per week per customer. Longer-term, we aim to establish the industry standard data model for supply chain digital twins, which would make Arcus a platform play rather than a tool play.</w:t>
      </w:r>
    </w:p>
    <w:p>
      <w:pPr>
        <w:spacing w:after="80" w:before="200"/>
      </w:pPr>
      <w:r>
        <w:rPr>
          <w:rFonts w:ascii="Inter" w:cs="Inter" w:eastAsia="Inter" w:hAnsi="Inter"/>
          <w:b/>
          <w:bCs/>
          <w:color w:val="0F172A"/>
          <w:sz w:val="20"/>
          <w:szCs w:val="20"/>
        </w:rPr>
        <w:t xml:space="preserve">Q: What is your founding story and why is Sarah Chen the right founder for this business?</w:t>
      </w:r>
    </w:p>
    <w:p>
      <w:pPr>
        <w:spacing w:after="160" w:line="300"/>
        <w:ind w:left="240"/>
      </w:pPr>
      <w:r>
        <w:rPr>
          <w:rFonts w:ascii="Inter" w:cs="Inter" w:eastAsia="Inter" w:hAnsi="Inter"/>
          <w:b/>
          <w:bCs/>
          <w:color w:val="D97706"/>
          <w:sz w:val="20"/>
          <w:szCs w:val="20"/>
        </w:rPr>
        <w:t xml:space="preserve">A: </w:t>
      </w:r>
      <w:r>
        <w:rPr>
          <w:rFonts w:ascii="Inter" w:cs="Inter" w:eastAsia="Inter" w:hAnsi="Inter"/>
          <w:color w:val="0F172A"/>
          <w:sz w:val="20"/>
          <w:szCs w:val="20"/>
        </w:rPr>
        <w:t xml:space="preserve">Sarah Chen spent seven years at McKinsey where she led the Supply Chain Practice's North American work during the 2020–2022 disruption cycle, advising Fortune 100 manufacturers, retailers, and 3PLs on how to rebuild resilience after COVID, Suez, and the semiconductor shortage. The pattern she saw repeatedly was that the data existed, the models existed, and the playbooks existed — but the systems required to connect them into action did not. She founded Arcus in February 2021 with Marcus Weiss, a former Palantir principal engineer, on the thesis that the next wave of supply chain software would be built on a single data model and would collapse the time from 'sensing' to 'acting.' Sarah has operated the business from $0 to $18M ARR and has personally closed 7 of the top 10 enterprise accounts. She is deeply technical for a non-engineer (Stanford MS in Management Science &amp; Engineering), relentlessly commercial, and has built the rare founder profile of being simultaneously credible with line-of-business operators (CSCOs, COOs) and with ML practitioners.</w:t>
      </w:r>
    </w:p>
    <w:p>
      <w:pPr>
        <w:spacing w:after="80" w:before="200"/>
      </w:pPr>
      <w:r>
        <w:rPr>
          <w:rFonts w:ascii="Inter" w:cs="Inter" w:eastAsia="Inter" w:hAnsi="Inter"/>
          <w:b/>
          <w:bCs/>
          <w:color w:val="0F172A"/>
          <w:sz w:val="20"/>
          <w:szCs w:val="20"/>
        </w:rPr>
        <w:t xml:space="preserve">Q: What are your top three priorities for the next 12 months?</w:t>
      </w:r>
    </w:p>
    <w:p>
      <w:pPr>
        <w:spacing w:after="160" w:line="300"/>
        <w:ind w:left="240"/>
      </w:pPr>
      <w:r>
        <w:rPr>
          <w:rFonts w:ascii="Inter" w:cs="Inter" w:eastAsia="Inter" w:hAnsi="Inter"/>
          <w:b/>
          <w:bCs/>
          <w:color w:val="D97706"/>
          <w:sz w:val="20"/>
          <w:szCs w:val="20"/>
        </w:rPr>
        <w:t xml:space="preserve">A: </w:t>
      </w:r>
      <w:r>
        <w:rPr>
          <w:rFonts w:ascii="Inter" w:cs="Inter" w:eastAsia="Inter" w:hAnsi="Inter"/>
          <w:color w:val="0F172A"/>
          <w:sz w:val="20"/>
          <w:szCs w:val="20"/>
        </w:rPr>
        <w:t xml:space="preserve">(1) Close Series B with a strategic growth partner and deploy ~45% of the round into S&amp;M capacity, hiring 14 net-new enterprise AEs and building out the Gartner/Forrester analyst relations function. (2) Hire a full-time CTO (currently at finals with three candidates via Heidrick &amp; Struggles) and finalize the ML platform architecture to support Autopilot at scale across vertical templates. (3) Drive Autopilot production adoption from today's 23 pilot customers to 40+ GA customers by year-end, proving out the autonomous-action value proposition and unlocking a new pricing motion (outcome-based upcharges on execution-tier contracts).</w:t>
      </w:r>
    </w:p>
    <w:p>
      <w:pPr>
        <w:spacing w:after="80" w:before="200"/>
      </w:pPr>
      <w:r>
        <w:rPr>
          <w:rFonts w:ascii="Inter" w:cs="Inter" w:eastAsia="Inter" w:hAnsi="Inter"/>
          <w:b/>
          <w:bCs/>
          <w:color w:val="0F172A"/>
          <w:sz w:val="20"/>
          <w:szCs w:val="20"/>
        </w:rPr>
        <w:t xml:space="preserve">Q: How is your strategy different today from 12 months ago?</w:t>
      </w:r>
    </w:p>
    <w:p>
      <w:pPr>
        <w:spacing w:after="160" w:line="300"/>
        <w:ind w:left="240"/>
      </w:pPr>
      <w:r>
        <w:rPr>
          <w:rFonts w:ascii="Inter" w:cs="Inter" w:eastAsia="Inter" w:hAnsi="Inter"/>
          <w:b/>
          <w:bCs/>
          <w:color w:val="D97706"/>
          <w:sz w:val="20"/>
          <w:szCs w:val="20"/>
        </w:rPr>
        <w:t xml:space="preserve">A: </w:t>
      </w:r>
      <w:r>
        <w:rPr>
          <w:rFonts w:ascii="Inter" w:cs="Inter" w:eastAsia="Inter" w:hAnsi="Inter"/>
          <w:color w:val="0F172A"/>
          <w:sz w:val="20"/>
          <w:szCs w:val="20"/>
        </w:rPr>
        <w:t xml:space="preserve">Twelve months ago we were positioned primarily as a visibility and risk-intelligence platform — competing head-to-head with Project44 and Interos in evaluation cycles. Since the GA launch of Arcus Autopilot in June 2025, we have repositioned as an action platform: visibility and prediction are table-stakes feature sets, but only Arcus closes the loop. This repositioning has had two effects. First, our win rate in 3-way evaluations where Autopilot is scoped has risen from 38% to 61% (see Customer &amp; Pipeline Data, Win/Loss tab). Second, our average Enterprise deal size has grown from $165K to $215K because customers are willing to pay more for execution than for dashboards. The strategic shift to action does introduce new risk — hyperscaler GenAI agents could attempt to replicate our workflow layer — which we address in Section 7.</w:t>
      </w:r>
    </w:p>
    <w:p>
      <w:r>
        <w:br w:type="page"/>
      </w:r>
    </w:p>
    <w:p>
      <w:pPr>
        <w:pStyle w:val="Heading1"/>
        <w:spacing w:after="180" w:before="360"/>
      </w:pPr>
      <w:r>
        <w:rPr>
          <w:rFonts w:ascii="Inter" w:cs="Inter" w:eastAsia="Inter" w:hAnsi="Inter"/>
          <w:b/>
          <w:bCs/>
          <w:color w:val="1E2761"/>
          <w:sz w:val="32"/>
          <w:szCs w:val="32"/>
        </w:rPr>
        <w:t xml:space="preserve">2. Product &amp; Technology</w:t>
      </w:r>
    </w:p>
    <w:p>
      <w:pPr>
        <w:spacing w:after="80" w:before="200"/>
      </w:pPr>
      <w:r>
        <w:rPr>
          <w:rFonts w:ascii="Inter" w:cs="Inter" w:eastAsia="Inter" w:hAnsi="Inter"/>
          <w:b/>
          <w:bCs/>
          <w:color w:val="0F172A"/>
          <w:sz w:val="20"/>
          <w:szCs w:val="20"/>
        </w:rPr>
        <w:t xml:space="preserve">Q: Walk us through the three Arcus modules and how they interoperate.</w:t>
      </w:r>
    </w:p>
    <w:p>
      <w:pPr>
        <w:spacing w:after="160" w:line="300"/>
        <w:ind w:left="240"/>
      </w:pPr>
      <w:r>
        <w:rPr>
          <w:rFonts w:ascii="Inter" w:cs="Inter" w:eastAsia="Inter" w:hAnsi="Inter"/>
          <w:b/>
          <w:bCs/>
          <w:color w:val="D97706"/>
          <w:sz w:val="20"/>
          <w:szCs w:val="20"/>
        </w:rPr>
        <w:t xml:space="preserve">A: </w:t>
      </w:r>
      <w:r>
        <w:rPr>
          <w:rFonts w:ascii="Inter" w:cs="Inter" w:eastAsia="Inter" w:hAnsi="Inter"/>
          <w:color w:val="0F172A"/>
          <w:sz w:val="20"/>
          <w:szCs w:val="20"/>
        </w:rPr>
        <w:t xml:space="preserve">Arcus Visibility is our real-time track-and-trace layer. It ingests data from 200+ prebuilt connectors (SAP S/4HANA, Oracle NetSuite, Coupa, Flexport, Project44, carrier EDI feeds, port authority APIs, and supplier portals) and normalizes everything into a unified shipment and inventory data model. Customers get a single pane of glass showing where every SKU is, who is carrying it, and what its ETA is. Arcus Signal is our ML prediction layer. It consumes the Visibility data stream plus external risk signals (weather, geopolitical, labor, port congestion, supplier financial health) and predicts disruption events 14 days forward with an 81% recall rate on historical backtests. Signal triggers alerts and scenario-planning workflows. Arcus Autopilot is our GenAI action layer. It consumes Signal alerts and uses LLM-powered agents — tuned on our proprietary data and constrained by customer-configured policies — to execute actions autonomously: re-routing a shipment, reordering safety stock from a backup supplier, initiating a price negotiation, or opening an exception ticket. The three modules share a single data model and a single identity layer, so the data flows cleanly from sensing to prediction to action without manual handoffs.</w:t>
      </w:r>
    </w:p>
    <w:p>
      <w:pPr>
        <w:spacing w:after="80" w:before="200"/>
      </w:pPr>
      <w:r>
        <w:rPr>
          <w:rFonts w:ascii="Inter" w:cs="Inter" w:eastAsia="Inter" w:hAnsi="Inter"/>
          <w:b/>
          <w:bCs/>
          <w:color w:val="0F172A"/>
          <w:sz w:val="20"/>
          <w:szCs w:val="20"/>
        </w:rPr>
        <w:t xml:space="preserve">Q: What is the architecture of the underlying platform?</w:t>
      </w:r>
    </w:p>
    <w:p>
      <w:pPr>
        <w:spacing w:after="160" w:line="300"/>
        <w:ind w:left="240"/>
      </w:pPr>
      <w:r>
        <w:rPr>
          <w:rFonts w:ascii="Inter" w:cs="Inter" w:eastAsia="Inter" w:hAnsi="Inter"/>
          <w:b/>
          <w:bCs/>
          <w:color w:val="D97706"/>
          <w:sz w:val="20"/>
          <w:szCs w:val="20"/>
        </w:rPr>
        <w:t xml:space="preserve">A: </w:t>
      </w:r>
      <w:r>
        <w:rPr>
          <w:rFonts w:ascii="Inter" w:cs="Inter" w:eastAsia="Inter" w:hAnsi="Inter"/>
          <w:color w:val="0F172A"/>
          <w:sz w:val="20"/>
          <w:szCs w:val="20"/>
        </w:rPr>
        <w:t xml:space="preserve">Arcus runs as a multi-tenant SaaS on AWS, with primary regions in us-east-1 (Northern Virginia) and eu-west-1 (Ireland) and a single-tenant deployment option for Enterprise+ customers with strict data residency requirements. The platform is built around a Kafka-based event bus, a Snowflake-backed data warehouse for batch analytics, a Pinecone vector store for semantic search and retrieval-augmented generation, and a custom orchestration layer for Autopilot agent execution. ML inference runs on a combination of AWS Bedrock (for LLM-backed Autopilot agents) and dedicated GPU clusters for our proprietary time-series models. We maintain SOC 2 Type II certification (renewed January 2025), ISO 27001 (awarded September 2025), and are GDPR, CCPA, and HIPAA-ready. The full architecture diagram, data flow, and security control matrix are provided in the Technical Due Diligence folder.</w:t>
      </w:r>
    </w:p>
    <w:p>
      <w:pPr>
        <w:spacing w:after="80" w:before="200"/>
      </w:pPr>
      <w:r>
        <w:rPr>
          <w:rFonts w:ascii="Inter" w:cs="Inter" w:eastAsia="Inter" w:hAnsi="Inter"/>
          <w:b/>
          <w:bCs/>
          <w:color w:val="0F172A"/>
          <w:sz w:val="20"/>
          <w:szCs w:val="20"/>
        </w:rPr>
        <w:t xml:space="preserve">Q: What is proprietary and defensible about the technology?</w:t>
      </w:r>
    </w:p>
    <w:p>
      <w:pPr>
        <w:spacing w:after="160" w:line="300"/>
        <w:ind w:left="240"/>
      </w:pPr>
      <w:r>
        <w:rPr>
          <w:rFonts w:ascii="Inter" w:cs="Inter" w:eastAsia="Inter" w:hAnsi="Inter"/>
          <w:b/>
          <w:bCs/>
          <w:color w:val="D97706"/>
          <w:sz w:val="20"/>
          <w:szCs w:val="20"/>
        </w:rPr>
        <w:t xml:space="preserve">A: </w:t>
      </w:r>
      <w:r>
        <w:rPr>
          <w:rFonts w:ascii="Inter" w:cs="Inter" w:eastAsia="Inter" w:hAnsi="Inter"/>
          <w:color w:val="0F172A"/>
          <w:sz w:val="20"/>
          <w:szCs w:val="20"/>
        </w:rPr>
        <w:t xml:space="preserve">Three things form our technical moat. First, we have trained our proprietary disruption-prediction models on a curated dataset of 52 million historical supply chain events and 2.1 billion shipment-days, pulled from anonymized customer data plus public sources — this dataset grows roughly 15% per quarter and is the single largest asset on the balance sheet on a replacement-cost basis. Second, our connector library of 200+ integrations represents approximately four years of engineering investment that a new entrant would struggle to replicate quickly; each new connector delivers compounding network value by broadening the data model. Third, our Autopilot agent framework is purpose-built for supply chain decision-making — it enforces policy guardrails, requires deterministic audit trails (critical for SOX and internal controls), and supports human-in-the-loop approval workflows. Off-the-shelf agent frameworks do not meet enterprise procurement and audit requirements out of the box.</w:t>
      </w:r>
    </w:p>
    <w:p>
      <w:pPr>
        <w:spacing w:after="80" w:before="200"/>
      </w:pPr>
      <w:r>
        <w:rPr>
          <w:rFonts w:ascii="Inter" w:cs="Inter" w:eastAsia="Inter" w:hAnsi="Inter"/>
          <w:b/>
          <w:bCs/>
          <w:color w:val="0F172A"/>
          <w:sz w:val="20"/>
          <w:szCs w:val="20"/>
        </w:rPr>
        <w:t xml:space="preserve">Q: How do you think about the threat of hyperscaler GenAI agents?</w:t>
      </w:r>
    </w:p>
    <w:p>
      <w:pPr>
        <w:spacing w:after="160" w:line="300"/>
        <w:ind w:left="240"/>
      </w:pPr>
      <w:r>
        <w:rPr>
          <w:rFonts w:ascii="Inter" w:cs="Inter" w:eastAsia="Inter" w:hAnsi="Inter"/>
          <w:b/>
          <w:bCs/>
          <w:color w:val="D97706"/>
          <w:sz w:val="20"/>
          <w:szCs w:val="20"/>
        </w:rPr>
        <w:t xml:space="preserve">A: </w:t>
      </w:r>
      <w:r>
        <w:rPr>
          <w:rFonts w:ascii="Inter" w:cs="Inter" w:eastAsia="Inter" w:hAnsi="Inter"/>
          <w:color w:val="0F172A"/>
          <w:sz w:val="20"/>
          <w:szCs w:val="20"/>
        </w:rPr>
        <w:t xml:space="preserve">Credibly, Microsoft Copilot for SAP and Oracle AI Agent are 12–24 months from being usable in production for the workflows we serve, and even when they ship we expect them to be tightly coupled to their parent ERPs. Our defensibility rests on three points. (1) Cross-system orchestration: hyperscaler agents reason within their own ERP; Arcus reasons across ERP, TMS, supplier portals, and carrier systems simultaneously — something that is architecturally harder for any single-vendor agent. (2) Data and model moat: our training dataset and proprietary signal models are not replicable by LLM-only systems. (3) Customer workflow ownership: we sell to the CSCO and supply chain operator, not to the IT buyer; that relationship is sticky once Autopilot is in production. We are actively monitoring hyperscaler announcements and have a standing Product Council review every six weeks to assess the threat; see Section 7 for risk mitigants.</w:t>
      </w:r>
    </w:p>
    <w:p>
      <w:pPr>
        <w:spacing w:after="80" w:before="200"/>
      </w:pPr>
      <w:r>
        <w:rPr>
          <w:rFonts w:ascii="Inter" w:cs="Inter" w:eastAsia="Inter" w:hAnsi="Inter"/>
          <w:b/>
          <w:bCs/>
          <w:color w:val="0F172A"/>
          <w:sz w:val="20"/>
          <w:szCs w:val="20"/>
        </w:rPr>
        <w:t xml:space="preserve">Q: Describe your R&amp;D process and recent product releases.</w:t>
      </w:r>
    </w:p>
    <w:p>
      <w:pPr>
        <w:spacing w:after="160" w:line="300"/>
        <w:ind w:left="240"/>
      </w:pPr>
      <w:r>
        <w:rPr>
          <w:rFonts w:ascii="Inter" w:cs="Inter" w:eastAsia="Inter" w:hAnsi="Inter"/>
          <w:b/>
          <w:bCs/>
          <w:color w:val="D97706"/>
          <w:sz w:val="20"/>
          <w:szCs w:val="20"/>
        </w:rPr>
        <w:t xml:space="preserve">A: </w:t>
      </w:r>
      <w:r>
        <w:rPr>
          <w:rFonts w:ascii="Inter" w:cs="Inter" w:eastAsia="Inter" w:hAnsi="Inter"/>
          <w:color w:val="0F172A"/>
          <w:sz w:val="20"/>
          <w:szCs w:val="20"/>
        </w:rPr>
        <w:t xml:space="preserve">We run a 6-week release cadence with continuous delivery on the core platform and feature-flagged rollouts for major capabilities. Product management is led by Priya Shankar (CPO, ex-Flexport VP Product) and organized into three module pods plus a horizontal platform team. Notable releases in the last 12 months: (June 2025) Arcus Autopilot GA, initially scoped to re-routing and exception management; (September 2025) expansion of connector library to 200+ with the addition of 40 new carrier EDI feeds and 20 supplier system integrations; (November 2025) release of vertical accelerators for Automotive and Healthcare/Pharma with pre-configured data models and policies; (February 2026) Autopilot 1.5 adding autonomous negotiation agents constrained by customer-configured pricing guardrails; (March 2026) SOC 2 Type II renewal and readiness audit for FedRAMP Moderate (targeted for late 2026). Full roadmap through FY2027 is in the Product Technical folder.</w:t>
      </w:r>
    </w:p>
    <w:p>
      <w:r>
        <w:br w:type="page"/>
      </w:r>
    </w:p>
    <w:p>
      <w:pPr>
        <w:pStyle w:val="Heading1"/>
        <w:spacing w:after="180" w:before="360"/>
      </w:pPr>
      <w:r>
        <w:rPr>
          <w:rFonts w:ascii="Inter" w:cs="Inter" w:eastAsia="Inter" w:hAnsi="Inter"/>
          <w:b/>
          <w:bCs/>
          <w:color w:val="1E2761"/>
          <w:sz w:val="32"/>
          <w:szCs w:val="32"/>
        </w:rPr>
        <w:t xml:space="preserve">3. Go-to-Market &amp; Sales</w:t>
      </w:r>
    </w:p>
    <w:p>
      <w:pPr>
        <w:spacing w:after="80" w:before="200"/>
      </w:pPr>
      <w:r>
        <w:rPr>
          <w:rFonts w:ascii="Inter" w:cs="Inter" w:eastAsia="Inter" w:hAnsi="Inter"/>
          <w:b/>
          <w:bCs/>
          <w:color w:val="0F172A"/>
          <w:sz w:val="20"/>
          <w:szCs w:val="20"/>
        </w:rPr>
        <w:t xml:space="preserve">Q: Walk us through your sales motion and ideal customer profile.</w:t>
      </w:r>
    </w:p>
    <w:p>
      <w:pPr>
        <w:spacing w:after="160" w:line="300"/>
        <w:ind w:left="240"/>
      </w:pPr>
      <w:r>
        <w:rPr>
          <w:rFonts w:ascii="Inter" w:cs="Inter" w:eastAsia="Inter" w:hAnsi="Inter"/>
          <w:b/>
          <w:bCs/>
          <w:color w:val="D97706"/>
          <w:sz w:val="20"/>
          <w:szCs w:val="20"/>
        </w:rPr>
        <w:t xml:space="preserve">A: </w:t>
      </w:r>
      <w:r>
        <w:rPr>
          <w:rFonts w:ascii="Inter" w:cs="Inter" w:eastAsia="Inter" w:hAnsi="Inter"/>
          <w:color w:val="0F172A"/>
          <w:sz w:val="20"/>
          <w:szCs w:val="20"/>
        </w:rPr>
        <w:t xml:space="preserve">Our ideal customer profile (ICP) is a mid-market or enterprise company with $500M–$10B in revenue, a complex multi-echelon supply chain, an identified CSCO or SVP of Operations as executive sponsor, and a recent disruption event (supplier failure, weather event, geopolitical exposure) that has created urgency. Vertical focus is heaviest in Manufacturing (34% of logos), Retail/CPG (28%), and Logistics/3PL (19%). Our enterprise sales cycle is 4.5 months on average from first meeting to closed-won, with a typical evaluation involving a CSCO champion, a director-level technical evaluator, and a procurement/legal review. We deploy field sales (14 enterprise AEs at end of Q1 2026, growing to 28 by end of FY2026), supported by 5 sales engineers and 7 SDRs. Channel partnerships with Deloitte Consulting, Kearney, and Efficio are early but contributed $3.8M of the current pipeline.</w:t>
      </w:r>
    </w:p>
    <w:p>
      <w:pPr>
        <w:spacing w:after="80" w:before="200"/>
      </w:pPr>
      <w:r>
        <w:rPr>
          <w:rFonts w:ascii="Inter" w:cs="Inter" w:eastAsia="Inter" w:hAnsi="Inter"/>
          <w:b/>
          <w:bCs/>
          <w:color w:val="0F172A"/>
          <w:sz w:val="20"/>
          <w:szCs w:val="20"/>
        </w:rPr>
        <w:t xml:space="preserve">Q: How do you price and package?</w:t>
      </w:r>
    </w:p>
    <w:p>
      <w:pPr>
        <w:spacing w:after="160" w:line="300"/>
        <w:ind w:left="240"/>
      </w:pPr>
      <w:r>
        <w:rPr>
          <w:rFonts w:ascii="Inter" w:cs="Inter" w:eastAsia="Inter" w:hAnsi="Inter"/>
          <w:b/>
          <w:bCs/>
          <w:color w:val="D97706"/>
          <w:sz w:val="20"/>
          <w:szCs w:val="20"/>
        </w:rPr>
        <w:t xml:space="preserve">A: </w:t>
      </w:r>
      <w:r>
        <w:rPr>
          <w:rFonts w:ascii="Inter" w:cs="Inter" w:eastAsia="Inter" w:hAnsi="Inter"/>
          <w:color w:val="0F172A"/>
          <w:sz w:val="20"/>
          <w:szCs w:val="20"/>
        </w:rPr>
        <w:t xml:space="preserve">We sell on a three-tier subscription model. Growth tier ($60K average ACV) is a visibility-only package for mid-market companies under $1B in revenue, deployed with minimal professional services. Enterprise tier ($185K average ACV new logo, $215K blended) includes Visibility and Signal with 10 active connectors and access to one vertical accelerator. Enterprise+ tier (custom pricing, averaging $340K ACV on 15 accounts) includes Autopilot, unlimited connectors, single-tenant deployment option, and dedicated CSM coverage. Pricing is contracted annually with 2-year and 3-year options (62% of ARR is on multi-year contracts) and includes a CPI escalator on renewals. We are actively piloting an outcome-based upcharge for Autopilot execution volume with three customers, with early results showing a 22% uplift on the base contract — this will likely become a standard pricing option in H2 2026.</w:t>
      </w:r>
    </w:p>
    <w:p>
      <w:pPr>
        <w:spacing w:after="80" w:before="200"/>
      </w:pPr>
      <w:r>
        <w:rPr>
          <w:rFonts w:ascii="Inter" w:cs="Inter" w:eastAsia="Inter" w:hAnsi="Inter"/>
          <w:b/>
          <w:bCs/>
          <w:color w:val="0F172A"/>
          <w:sz w:val="20"/>
          <w:szCs w:val="20"/>
        </w:rPr>
        <w:t xml:space="preserve">Q: What is your pipeline and how is it converting?</w:t>
      </w:r>
    </w:p>
    <w:p>
      <w:pPr>
        <w:spacing w:after="160" w:line="300"/>
        <w:ind w:left="240"/>
      </w:pPr>
      <w:r>
        <w:rPr>
          <w:rFonts w:ascii="Inter" w:cs="Inter" w:eastAsia="Inter" w:hAnsi="Inter"/>
          <w:b/>
          <w:bCs/>
          <w:color w:val="D97706"/>
          <w:sz w:val="20"/>
          <w:szCs w:val="20"/>
        </w:rPr>
        <w:t xml:space="preserve">A: </w:t>
      </w:r>
      <w:r>
        <w:rPr>
          <w:rFonts w:ascii="Inter" w:cs="Inter" w:eastAsia="Inter" w:hAnsi="Inter"/>
          <w:color w:val="0F172A"/>
          <w:sz w:val="20"/>
          <w:szCs w:val="20"/>
        </w:rPr>
        <w:t xml:space="preserve">As of April 1, 2026, our total open pipeline is $118M across all stages, with $42M in weighted pipeline applying stage-level probability weights. Of the total, $31M is in late-stage (Stage 4 — Verbal or Stage 5 — Contracting), and our historical conversion rate from Stage 4 to closed-won is 64%. Closed-won year-to-date is $3.2M (Q1 2026), putting us on track for approximately $14.5M of new-logo ACV for FY2026, against our plan of $15.2M. The pipeline coverage ratio on plan is 2.8× weighted and 7.8× unweighted, both of which are within the 3–8× range that our CRO benchmarks against for a company at our ARR and growth rate. Pipeline detail by stage, vertical, and AE is in the Pipeline tab of the Customer &amp; Pipeline Data workbook.</w:t>
      </w:r>
    </w:p>
    <w:p>
      <w:pPr>
        <w:spacing w:after="80" w:before="200"/>
      </w:pPr>
      <w:r>
        <w:rPr>
          <w:rFonts w:ascii="Inter" w:cs="Inter" w:eastAsia="Inter" w:hAnsi="Inter"/>
          <w:b/>
          <w:bCs/>
          <w:color w:val="0F172A"/>
          <w:sz w:val="20"/>
          <w:szCs w:val="20"/>
        </w:rPr>
        <w:t xml:space="preserve">Q: Who are your main competitors and what is your win rate?</w:t>
      </w:r>
    </w:p>
    <w:p>
      <w:pPr>
        <w:spacing w:after="160" w:line="300"/>
        <w:ind w:left="240"/>
      </w:pPr>
      <w:r>
        <w:rPr>
          <w:rFonts w:ascii="Inter" w:cs="Inter" w:eastAsia="Inter" w:hAnsi="Inter"/>
          <w:b/>
          <w:bCs/>
          <w:color w:val="D97706"/>
          <w:sz w:val="20"/>
          <w:szCs w:val="20"/>
        </w:rPr>
        <w:t xml:space="preserve">A: </w:t>
      </w:r>
      <w:r>
        <w:rPr>
          <w:rFonts w:ascii="Inter" w:cs="Inter" w:eastAsia="Inter" w:hAnsi="Inter"/>
          <w:color w:val="0F172A"/>
          <w:sz w:val="20"/>
          <w:szCs w:val="20"/>
        </w:rPr>
        <w:t xml:space="preserve">In competitive evaluations over the trailing 12 months, Arcus has faced SAP IBP most often (41 deals), followed by Oracle SCM Cloud (19), Project44 (28), Blue Yonder (12), and in-house / status-quo (33). Our overall win rate against named competitors is 58%, with strongest results against Project44 (71% win rate — we beat them on prediction and execution) and weakest against SAP IBP (44% — they win on incumbent ERP leverage). In deals where Autopilot is scoped, our overall win rate rises to 61%. We have lost two deals YTD to SAP IBP in which the customer chose 'consolidation with the ERP vendor of record' despite favoring our product in technical evaluation — a recurring loss pattern we are addressing through senior-executive relationship investment and co-selling with SI partners.</w:t>
      </w:r>
    </w:p>
    <w:p>
      <w:r>
        <w:br w:type="page"/>
      </w:r>
    </w:p>
    <w:p>
      <w:pPr>
        <w:pStyle w:val="Heading1"/>
        <w:spacing w:after="180" w:before="360"/>
      </w:pPr>
      <w:r>
        <w:rPr>
          <w:rFonts w:ascii="Inter" w:cs="Inter" w:eastAsia="Inter" w:hAnsi="Inter"/>
          <w:b/>
          <w:bCs/>
          <w:color w:val="1E2761"/>
          <w:sz w:val="32"/>
          <w:szCs w:val="32"/>
        </w:rPr>
        <w:t xml:space="preserve">4. Customers &amp; Retention</w:t>
      </w:r>
    </w:p>
    <w:p>
      <w:pPr>
        <w:spacing w:after="80" w:before="200"/>
      </w:pPr>
      <w:r>
        <w:rPr>
          <w:rFonts w:ascii="Inter" w:cs="Inter" w:eastAsia="Inter" w:hAnsi="Inter"/>
          <w:b/>
          <w:bCs/>
          <w:color w:val="0F172A"/>
          <w:sz w:val="20"/>
          <w:szCs w:val="20"/>
        </w:rPr>
        <w:t xml:space="preserve">Q: Describe your top 5 customers and the depth of each relationship.</w:t>
      </w:r>
    </w:p>
    <w:p>
      <w:pPr>
        <w:spacing w:after="160" w:line="300"/>
        <w:ind w:left="240"/>
      </w:pPr>
      <w:r>
        <w:rPr>
          <w:rFonts w:ascii="Inter" w:cs="Inter" w:eastAsia="Inter" w:hAnsi="Inter"/>
          <w:b/>
          <w:bCs/>
          <w:color w:val="D97706"/>
          <w:sz w:val="20"/>
          <w:szCs w:val="20"/>
        </w:rPr>
        <w:t xml:space="preserve">A: </w:t>
      </w:r>
      <w:r>
        <w:rPr>
          <w:rFonts w:ascii="Inter" w:cs="Inter" w:eastAsia="Inter" w:hAnsi="Inter"/>
          <w:color w:val="0F172A"/>
          <w:sz w:val="20"/>
          <w:szCs w:val="20"/>
        </w:rPr>
        <w:t xml:space="preserve">(1) Meridian Global Logistics — $2.1M ARR. Signed September 2021 as our largest design partner. Arcus runs across their full network of 47 distribution centers and 1,200+ carriers. Champion is Tom Bradford, SVP Operations. Autopilot is live on re-routing and carrier capacity matching. Renewal June 2026 (discussed below). (2) Kalberg Industries — $1.65M ARR. A global CPG operator. Signed November 2021; expanded from 3 divisions to all 12 over 30 months. Champion is Marissa Kalberg, CSCO (and the source of our most-quoted testimonial). Contract runs through November 2026. (3) Harbor Freight &amp; Supply — $1.48M ARR, signed March 2022. Operates Arcus across imports, domestic DC network, and vendor compliance monitoring. Renewal February 2027. (4) NexTrade International — $1.02M ARR, Germany-based manufacturer. Signed May 2022. Autopilot live on supplier risk scoring. (5) Orion Pharma Distribution — $920K ARR, signed July 2022. HIPAA-bound deployment; Arcus Visibility underpins their cold-chain integrity reporting. Full top 10 deep dive is in the Customer &amp; Pipeline Data workbook.</w:t>
      </w:r>
    </w:p>
    <w:p>
      <w:pPr>
        <w:spacing w:after="80" w:before="200"/>
      </w:pPr>
      <w:r>
        <w:rPr>
          <w:rFonts w:ascii="Inter" w:cs="Inter" w:eastAsia="Inter" w:hAnsi="Inter"/>
          <w:b/>
          <w:bCs/>
          <w:color w:val="0F172A"/>
          <w:sz w:val="20"/>
          <w:szCs w:val="20"/>
        </w:rPr>
        <w:t xml:space="preserve">Q: What is your customer concentration and how are you managing it?</w:t>
      </w:r>
    </w:p>
    <w:p>
      <w:pPr>
        <w:spacing w:after="160" w:line="300"/>
        <w:ind w:left="240"/>
      </w:pPr>
      <w:r>
        <w:rPr>
          <w:rFonts w:ascii="Inter" w:cs="Inter" w:eastAsia="Inter" w:hAnsi="Inter"/>
          <w:b/>
          <w:bCs/>
          <w:color w:val="D97706"/>
          <w:sz w:val="20"/>
          <w:szCs w:val="20"/>
        </w:rPr>
        <w:t xml:space="preserve">A: </w:t>
      </w:r>
      <w:r>
        <w:rPr>
          <w:rFonts w:ascii="Inter" w:cs="Inter" w:eastAsia="Inter" w:hAnsi="Inter"/>
          <w:color w:val="0F172A"/>
          <w:sz w:val="20"/>
          <w:szCs w:val="20"/>
        </w:rPr>
        <w:t xml:space="preserve">Top 3 customers represent 31% of ARR and top 10 represent 54% — concentration that is elevated relative to a typical $18M ARR SaaS business and that we have flagged as a risk. Three mitigating factors: (1) all top 10 customers are on multi-year contracts with staggered renewals, reducing single-point-in-time exposure; (2) all top 10 are expansion candidates rather than churn risks, with an average NPS of 58 and 'Green' health scores for 9 of 10 (Pacific Coast Grocers is 'Yellow' — see next question); (3) we have explicit written executive sponsorship at all top 10, with quarterly business reviews led by David Patel (CRO) or Sarah Chen herself. The broader trajectory is also favorable: top 10 as a share of ARR was 72% at end of 2023, 63% at end of 2024, and 54% today — concentration is declining as we add new logos at a faster rate than top-10 expansion.</w:t>
      </w:r>
    </w:p>
    <w:p>
      <w:pPr>
        <w:spacing w:after="80" w:before="200"/>
      </w:pPr>
      <w:r>
        <w:rPr>
          <w:rFonts w:ascii="Inter" w:cs="Inter" w:eastAsia="Inter" w:hAnsi="Inter"/>
          <w:b/>
          <w:bCs/>
          <w:color w:val="0F172A"/>
          <w:sz w:val="20"/>
          <w:szCs w:val="20"/>
        </w:rPr>
        <w:t xml:space="preserve">Q: Meridian Global Logistics is up for renewal in June 2026. What is the status?</w:t>
      </w:r>
    </w:p>
    <w:p>
      <w:pPr>
        <w:spacing w:after="160" w:line="300"/>
        <w:ind w:left="240"/>
      </w:pPr>
      <w:r>
        <w:rPr>
          <w:rFonts w:ascii="Inter" w:cs="Inter" w:eastAsia="Inter" w:hAnsi="Inter"/>
          <w:b/>
          <w:bCs/>
          <w:color w:val="D97706"/>
          <w:sz w:val="20"/>
          <w:szCs w:val="20"/>
        </w:rPr>
        <w:t xml:space="preserve">A: </w:t>
      </w:r>
      <w:r>
        <w:rPr>
          <w:rFonts w:ascii="Inter" w:cs="Inter" w:eastAsia="Inter" w:hAnsi="Inter"/>
          <w:color w:val="0F172A"/>
          <w:sz w:val="20"/>
          <w:szCs w:val="20"/>
        </w:rPr>
        <w:t xml:space="preserve">Meridian is our largest customer and their renewal is the single most important commercial event in 2026. Current state: the renewal conversation began in February 2026 with a QBR led by Sarah Chen and David Patel. Tom Bradford (our champion) is supportive and wants to expand the relationship — specifically to add Autopilot to two additional business units and to extend the term from 3 years to 5 years. However, Meridian's new CFO (hired December 2025) is running a vendor consolidation review, and there is non-zero risk that the finance organization pushes for a 15–20% discount on the base. Our plan: offer a 3% escalator roll-back in exchange for a 5-year term and the two new Autopilot deployments, resulting in a projected expansion from $2.1M to $2.85M ARR. We have a contingency scenario assuming flat renewal at $2.1M (which would still be a 100% GRR outcome) and have socialized both scenarios with the board. The deal is forecast to close by May 15, 2026.</w:t>
      </w:r>
    </w:p>
    <w:p>
      <w:pPr>
        <w:spacing w:after="80" w:before="200"/>
      </w:pPr>
      <w:r>
        <w:rPr>
          <w:rFonts w:ascii="Inter" w:cs="Inter" w:eastAsia="Inter" w:hAnsi="Inter"/>
          <w:b/>
          <w:bCs/>
          <w:color w:val="0F172A"/>
          <w:sz w:val="20"/>
          <w:szCs w:val="20"/>
        </w:rPr>
        <w:t xml:space="preserve">Q: What is your net and gross retention?</w:t>
      </w:r>
    </w:p>
    <w:p>
      <w:pPr>
        <w:spacing w:after="160" w:line="300"/>
        <w:ind w:left="240"/>
      </w:pPr>
      <w:r>
        <w:rPr>
          <w:rFonts w:ascii="Inter" w:cs="Inter" w:eastAsia="Inter" w:hAnsi="Inter"/>
          <w:b/>
          <w:bCs/>
          <w:color w:val="D97706"/>
          <w:sz w:val="20"/>
          <w:szCs w:val="20"/>
        </w:rPr>
        <w:t xml:space="preserve">A: </w:t>
      </w:r>
      <w:r>
        <w:rPr>
          <w:rFonts w:ascii="Inter" w:cs="Inter" w:eastAsia="Inter" w:hAnsi="Inter"/>
          <w:color w:val="0F172A"/>
          <w:sz w:val="20"/>
          <w:szCs w:val="20"/>
        </w:rPr>
        <w:t xml:space="preserve">Trailing-twelve-month Net Revenue Retention (NRR) is 128% and Gross Revenue Retention (GRR) is 92%, both as of March 31, 2026. Enterprise cohort NRR is 134% and SMB cohort NRR is 96%. Churn year-to-date is $780K from four logos: two competitive losses to SAP IBP in vertical industries where incumbent ERP lock-in was unusually strong (Chemicals and Automotive Parts), one acquired/consolidated logo where the acquirer had a competing enterprise contract, and one budget cut at a retailer that also laid off 12% of its staff. The full churn log with root-cause analysis is in the Customer &amp; Pipeline Data workbook, Tab 3. We target a steady-state GRR of 94%+ as our ICP targeting tightens and our onboarding motion matures; the two competitive losses informed a change in our enterprise qualification criteria effective February 2026.</w:t>
      </w:r>
    </w:p>
    <w:p>
      <w:pPr>
        <w:spacing w:after="80" w:before="200"/>
      </w:pPr>
      <w:r>
        <w:rPr>
          <w:rFonts w:ascii="Inter" w:cs="Inter" w:eastAsia="Inter" w:hAnsi="Inter"/>
          <w:b/>
          <w:bCs/>
          <w:color w:val="0F172A"/>
          <w:sz w:val="20"/>
          <w:szCs w:val="20"/>
        </w:rPr>
        <w:t xml:space="preserve">Q: What is your cohort retention and what does it tell us about the business?</w:t>
      </w:r>
    </w:p>
    <w:p>
      <w:pPr>
        <w:spacing w:after="160" w:line="300"/>
        <w:ind w:left="240"/>
      </w:pPr>
      <w:r>
        <w:rPr>
          <w:rFonts w:ascii="Inter" w:cs="Inter" w:eastAsia="Inter" w:hAnsi="Inter"/>
          <w:b/>
          <w:bCs/>
          <w:color w:val="D97706"/>
          <w:sz w:val="20"/>
          <w:szCs w:val="20"/>
        </w:rPr>
        <w:t xml:space="preserve">A: </w:t>
      </w:r>
      <w:r>
        <w:rPr>
          <w:rFonts w:ascii="Inter" w:cs="Inter" w:eastAsia="Inter" w:hAnsi="Inter"/>
          <w:color w:val="0F172A"/>
          <w:sz w:val="20"/>
          <w:szCs w:val="20"/>
        </w:rPr>
        <w:t xml:space="preserve">Our 2021 cohort (5 logos, Meridian and Kalberg among them) entered with $0.6M of initial ARR and today represents $4.4M — a 733% net retention over 4.5 years. The 2022 cohort (18 logos) entered with $2.4M and today is at $6.8M (283%). The 2023 cohort (27 logos) is at 155% net retention in its third year, and the 2024 cohort is at 126% after one year. The pattern is strong and improving. Two observations: first, land-and-expand is real at Arcus — our design partners all now run Arcus across multiple business units and have adopted multiple modules. Second, the maturation rate is accelerating: the 2024 cohort is reaching 126% net retention one year earlier than the 2022 cohort did, which we attribute to better onboarding playbooks and earlier Signal/Autopilot attach. See cohort table in Financial Model Tab 4 and commentary in Financial Model Tab 10.</w:t>
      </w:r>
    </w:p>
    <w:p>
      <w:r>
        <w:br w:type="page"/>
      </w:r>
    </w:p>
    <w:p>
      <w:pPr>
        <w:pStyle w:val="Heading1"/>
        <w:spacing w:after="180" w:before="360"/>
      </w:pPr>
      <w:r>
        <w:rPr>
          <w:rFonts w:ascii="Inter" w:cs="Inter" w:eastAsia="Inter" w:hAnsi="Inter"/>
          <w:b/>
          <w:bCs/>
          <w:color w:val="1E2761"/>
          <w:sz w:val="32"/>
          <w:szCs w:val="32"/>
        </w:rPr>
        <w:t xml:space="preserve">5. Financial Performance</w:t>
      </w:r>
    </w:p>
    <w:p>
      <w:pPr>
        <w:spacing w:after="80" w:before="200"/>
      </w:pPr>
      <w:r>
        <w:rPr>
          <w:rFonts w:ascii="Inter" w:cs="Inter" w:eastAsia="Inter" w:hAnsi="Inter"/>
          <w:b/>
          <w:bCs/>
          <w:color w:val="0F172A"/>
          <w:sz w:val="20"/>
          <w:szCs w:val="20"/>
        </w:rPr>
        <w:t xml:space="preserve">Q: What is the current ARR and how has it grown?</w:t>
      </w:r>
    </w:p>
    <w:p>
      <w:pPr>
        <w:spacing w:after="160" w:line="300"/>
        <w:ind w:left="240"/>
      </w:pPr>
      <w:r>
        <w:rPr>
          <w:rFonts w:ascii="Inter" w:cs="Inter" w:eastAsia="Inter" w:hAnsi="Inter"/>
          <w:b/>
          <w:bCs/>
          <w:color w:val="D97706"/>
          <w:sz w:val="20"/>
          <w:szCs w:val="20"/>
        </w:rPr>
        <w:t xml:space="preserve">A: </w:t>
      </w:r>
      <w:r>
        <w:rPr>
          <w:rFonts w:ascii="Inter" w:cs="Inter" w:eastAsia="Inter" w:hAnsi="Inter"/>
          <w:color w:val="0F172A"/>
          <w:sz w:val="20"/>
          <w:szCs w:val="20"/>
        </w:rPr>
        <w:t xml:space="preserve">ARR was $18.0M at March 31, 2026, up from $15.4M at December 31, 2025 and $11.1M at December 31, 2024. Year-over-year growth is approximately 62% as of the most recent period. Q1 2026 net new ARR of $2.6M decomposed to $2.2M expansion, $1.1M new logo, and $0.7M of churn/down-sell — a healthy mix that reflects both a strong expansion motion and continued new-logo velocity. We expect to exit FY2026 at approximately $27.5M ARR, implying continued ~60% growth on a larger base.</w:t>
      </w:r>
    </w:p>
    <w:p>
      <w:pPr>
        <w:spacing w:after="80" w:before="200"/>
      </w:pPr>
      <w:r>
        <w:rPr>
          <w:rFonts w:ascii="Inter" w:cs="Inter" w:eastAsia="Inter" w:hAnsi="Inter"/>
          <w:b/>
          <w:bCs/>
          <w:color w:val="0F172A"/>
          <w:sz w:val="20"/>
          <w:szCs w:val="20"/>
        </w:rPr>
        <w:t xml:space="preserve">Q: What is your gross margin and how is it trending?</w:t>
      </w:r>
    </w:p>
    <w:p>
      <w:pPr>
        <w:spacing w:after="160" w:line="300"/>
        <w:ind w:left="240"/>
      </w:pPr>
      <w:r>
        <w:rPr>
          <w:rFonts w:ascii="Inter" w:cs="Inter" w:eastAsia="Inter" w:hAnsi="Inter"/>
          <w:b/>
          <w:bCs/>
          <w:color w:val="D97706"/>
          <w:sz w:val="20"/>
          <w:szCs w:val="20"/>
        </w:rPr>
        <w:t xml:space="preserve">A: </w:t>
      </w:r>
      <w:r>
        <w:rPr>
          <w:rFonts w:ascii="Inter" w:cs="Inter" w:eastAsia="Inter" w:hAnsi="Inter"/>
          <w:color w:val="0F172A"/>
          <w:sz w:val="20"/>
          <w:szCs w:val="20"/>
        </w:rPr>
        <w:t xml:space="preserve">FY2024 gross margin was 77%; FY2025 was 74%; Q1 2026 run-rate is 75%. The 300 basis point compression from FY2024 to FY2025 was driven by two factors: (1) the Enterprise+ single-tenant hosting cohort grew from 4 to 12 customers, adding dedicated AWS infrastructure costs; and (2) AWS Bedrock inference costs increased with the Autopilot GA launch — each autonomous action generates roughly 4–7 LLM calls depending on complexity. We expect gross margin to rebase to 78% by end of FY2026 and to 80% by end of FY2027 through three initiatives now underway: migrating inference from Bedrock to dedicated hosted models for the highest-volume Autopilot use cases (projected $1.8M annualized savings), implementing workload-right-sizing on the Snowflake warehouse ($0.9M savings), and consolidating single-tenant customers onto a secure multi-tenant variant for customers that don't strictly require isolated infrastructure (projected $1.2M savings).</w:t>
      </w:r>
    </w:p>
    <w:p>
      <w:pPr>
        <w:spacing w:after="80" w:before="200"/>
      </w:pPr>
      <w:r>
        <w:rPr>
          <w:rFonts w:ascii="Inter" w:cs="Inter" w:eastAsia="Inter" w:hAnsi="Inter"/>
          <w:b/>
          <w:bCs/>
          <w:color w:val="0F172A"/>
          <w:sz w:val="20"/>
          <w:szCs w:val="20"/>
        </w:rPr>
        <w:t xml:space="preserve">Q: Walk us through the FY2025 P&amp;L.</w:t>
      </w:r>
    </w:p>
    <w:p>
      <w:pPr>
        <w:spacing w:after="160" w:line="300"/>
        <w:ind w:left="240"/>
      </w:pPr>
      <w:r>
        <w:rPr>
          <w:rFonts w:ascii="Inter" w:cs="Inter" w:eastAsia="Inter" w:hAnsi="Inter"/>
          <w:b/>
          <w:bCs/>
          <w:color w:val="D97706"/>
          <w:sz w:val="20"/>
          <w:szCs w:val="20"/>
        </w:rPr>
        <w:t xml:space="preserve">A: </w:t>
      </w:r>
      <w:r>
        <w:rPr>
          <w:rFonts w:ascii="Inter" w:cs="Inter" w:eastAsia="Inter" w:hAnsi="Inter"/>
          <w:color w:val="0F172A"/>
          <w:sz w:val="20"/>
          <w:szCs w:val="20"/>
        </w:rPr>
        <w:t xml:space="preserve">FY2025 GAAP revenue was $13.6M, split $13.2M subscription and $0.4M services. Cost of revenue was $3.5M (74% gross margin). Operating expenses totaled $28.8M, of which S&amp;M was $16.4M (57% of opex), R&amp;D was $9.1M (32%), and G&amp;A was $3.3M (11%). FY2025 operating loss was $18.7M. Net loss after interest income was $18.0M. We ended FY2025 with $34.7M in cash and $0 of debt, with $6.1M of operating burn in Q1 2026 ($2.0M per month) and $28.6M of cash at March 31, 2026. Full audited financials are in the Financial Model workbook and audited PDFs from PwC are in the Financial Folder.</w:t>
      </w:r>
    </w:p>
    <w:p>
      <w:pPr>
        <w:spacing w:after="80" w:before="200"/>
      </w:pPr>
      <w:r>
        <w:rPr>
          <w:rFonts w:ascii="Inter" w:cs="Inter" w:eastAsia="Inter" w:hAnsi="Inter"/>
          <w:b/>
          <w:bCs/>
          <w:color w:val="0F172A"/>
          <w:sz w:val="20"/>
          <w:szCs w:val="20"/>
        </w:rPr>
        <w:t xml:space="preserve">Q: What is your burn rate and runway?</w:t>
      </w:r>
    </w:p>
    <w:p>
      <w:pPr>
        <w:spacing w:after="160" w:line="300"/>
        <w:ind w:left="240"/>
      </w:pPr>
      <w:r>
        <w:rPr>
          <w:rFonts w:ascii="Inter" w:cs="Inter" w:eastAsia="Inter" w:hAnsi="Inter"/>
          <w:b/>
          <w:bCs/>
          <w:color w:val="D97706"/>
          <w:sz w:val="20"/>
          <w:szCs w:val="20"/>
        </w:rPr>
        <w:t xml:space="preserve">A: </w:t>
      </w:r>
      <w:r>
        <w:rPr>
          <w:rFonts w:ascii="Inter" w:cs="Inter" w:eastAsia="Inter" w:hAnsi="Inter"/>
          <w:color w:val="0F172A"/>
          <w:sz w:val="20"/>
          <w:szCs w:val="20"/>
        </w:rPr>
        <w:t xml:space="preserve">Net operating burn in Q1 2026 was $6.1M, or approximately $2.0M per month. At this burn rate, with $28.6M of cash on the balance sheet at March 31, 2026, we have approximately 14.3 months of runway absent any new capital. The Series B is structured to close in June 2026 and would add $45M of primary capital, extending runway to approximately 28+ months assuming we execute the hiring plan in Section 6 of this document. We manage burn against a monthly operating plan reviewed with the board; we have two pre-agreed cost-contingency scenarios ('delay plan' and 'cold plan') that would bring burn to $1.6M/mo and $1.2M/mo respectively if market conditions required.</w:t>
      </w:r>
    </w:p>
    <w:p>
      <w:pPr>
        <w:spacing w:after="80" w:before="200"/>
      </w:pPr>
      <w:r>
        <w:rPr>
          <w:rFonts w:ascii="Inter" w:cs="Inter" w:eastAsia="Inter" w:hAnsi="Inter"/>
          <w:b/>
          <w:bCs/>
          <w:color w:val="0F172A"/>
          <w:sz w:val="20"/>
          <w:szCs w:val="20"/>
        </w:rPr>
        <w:t xml:space="preserve">Q: What are the unit economics?</w:t>
      </w:r>
    </w:p>
    <w:p>
      <w:pPr>
        <w:spacing w:after="160" w:line="300"/>
        <w:ind w:left="240"/>
      </w:pPr>
      <w:r>
        <w:rPr>
          <w:rFonts w:ascii="Inter" w:cs="Inter" w:eastAsia="Inter" w:hAnsi="Inter"/>
          <w:b/>
          <w:bCs/>
          <w:color w:val="D97706"/>
          <w:sz w:val="20"/>
          <w:szCs w:val="20"/>
        </w:rPr>
        <w:t xml:space="preserve">A: </w:t>
      </w:r>
      <w:r>
        <w:rPr>
          <w:rFonts w:ascii="Inter" w:cs="Inter" w:eastAsia="Inter" w:hAnsi="Inter"/>
          <w:color w:val="0F172A"/>
          <w:sz w:val="20"/>
          <w:szCs w:val="20"/>
        </w:rPr>
        <w:t xml:space="preserve">Enterprise segment: blended new-logo ACV of $215K, CAC of $215K (implying 1.0 CAC ratio on first-year ACV), first-year gross margin of 78%, LTV of $2.3M, LTV/CAC of 10.7×, and CAC payback of 15.4 months. SMB segment: ACV of $62K, CAC of $78K, first-year gross margin of 67% (lower due to higher support-per-dollar), LTV of $340K, LTV/CAC of 4.4×, and payback of 22.5 months. Blended payback across both segments is 16.8 months. Our Magic Number (new ARR / S&amp;M spend on a quarter-lag basis) is 0.71 in Q1 2026, down from 0.84 in FY2025 as the sales team continues to ramp (average AE ramp is 4.2 months and we hired 7 AEs in Q4 2025 / Q1 2026 who are not yet fully productive). On a ramped-capacity basis the Magic Number is closer to 0.95, which we believe is more representative of steady-state performance. Rule of 40 for FY2025 was 44% (62% growth − 18% operating margin loss).</w:t>
      </w:r>
    </w:p>
    <w:p>
      <w:pPr>
        <w:spacing w:after="80" w:before="200"/>
      </w:pPr>
      <w:r>
        <w:rPr>
          <w:rFonts w:ascii="Inter" w:cs="Inter" w:eastAsia="Inter" w:hAnsi="Inter"/>
          <w:b/>
          <w:bCs/>
          <w:color w:val="0F172A"/>
          <w:sz w:val="20"/>
          <w:szCs w:val="20"/>
        </w:rPr>
        <w:t xml:space="preserve">Q: What are the key drivers in your projections?</w:t>
      </w:r>
    </w:p>
    <w:p>
      <w:pPr>
        <w:spacing w:after="160" w:line="300"/>
        <w:ind w:left="240"/>
      </w:pPr>
      <w:r>
        <w:rPr>
          <w:rFonts w:ascii="Inter" w:cs="Inter" w:eastAsia="Inter" w:hAnsi="Inter"/>
          <w:b/>
          <w:bCs/>
          <w:color w:val="D97706"/>
          <w:sz w:val="20"/>
          <w:szCs w:val="20"/>
        </w:rPr>
        <w:t xml:space="preserve">A: </w:t>
      </w:r>
      <w:r>
        <w:rPr>
          <w:rFonts w:ascii="Inter" w:cs="Inter" w:eastAsia="Inter" w:hAnsi="Inter"/>
          <w:color w:val="0F172A"/>
          <w:sz w:val="20"/>
          <w:szCs w:val="20"/>
        </w:rPr>
        <w:t xml:space="preserve">Our FY2026–FY2028 projections (see Financial Model Tab 6) rest on four drivers: (1) new-logo acquisition at 65 logos in FY2026 and 90 in FY2027 (up from 47 in FY2025), driven by sales capacity expansion funded by the Series B; (2) expansion retention holding above 125% through FY2027 (conservative vs. the 128% we delivered in TTM) as the 2023 and 2024 cohorts continue to mature; (3) gross margin recovering from 74% to 78% by end of FY2026 and 80% by end of FY2027 per the initiatives described earlier; and (4) S&amp;M efficiency improving as new AEs reach full productivity, bringing the Magic Number back to 0.85+ by Q4 2026. These assumptions are individually aggressive but not heroic; the sensitivities are modeled in Tab 7 of the Financial Model.</w:t>
      </w:r>
    </w:p>
    <w:p>
      <w:r>
        <w:br w:type="page"/>
      </w:r>
    </w:p>
    <w:p>
      <w:pPr>
        <w:pStyle w:val="Heading1"/>
        <w:spacing w:after="180" w:before="360"/>
      </w:pPr>
      <w:r>
        <w:rPr>
          <w:rFonts w:ascii="Inter" w:cs="Inter" w:eastAsia="Inter" w:hAnsi="Inter"/>
          <w:b/>
          <w:bCs/>
          <w:color w:val="1E2761"/>
          <w:sz w:val="32"/>
          <w:szCs w:val="32"/>
        </w:rPr>
        <w:t xml:space="preserve">6. Team &amp; Culture</w:t>
      </w:r>
    </w:p>
    <w:p>
      <w:pPr>
        <w:spacing w:after="80" w:before="200"/>
      </w:pPr>
      <w:r>
        <w:rPr>
          <w:rFonts w:ascii="Inter" w:cs="Inter" w:eastAsia="Inter" w:hAnsi="Inter"/>
          <w:b/>
          <w:bCs/>
          <w:color w:val="0F172A"/>
          <w:sz w:val="20"/>
          <w:szCs w:val="20"/>
        </w:rPr>
        <w:t xml:space="preserve">Q: Walk us through the leadership team.</w:t>
      </w:r>
    </w:p>
    <w:p>
      <w:pPr>
        <w:spacing w:after="160" w:line="300"/>
        <w:ind w:left="240"/>
      </w:pPr>
      <w:r>
        <w:rPr>
          <w:rFonts w:ascii="Inter" w:cs="Inter" w:eastAsia="Inter" w:hAnsi="Inter"/>
          <w:b/>
          <w:bCs/>
          <w:color w:val="D97706"/>
          <w:sz w:val="20"/>
          <w:szCs w:val="20"/>
        </w:rPr>
        <w:t xml:space="preserve">A: </w:t>
      </w:r>
      <w:r>
        <w:rPr>
          <w:rFonts w:ascii="Inter" w:cs="Inter" w:eastAsia="Inter" w:hAnsi="Inter"/>
          <w:color w:val="0F172A"/>
          <w:sz w:val="20"/>
          <w:szCs w:val="20"/>
        </w:rPr>
        <w:t xml:space="preserve">Sarah Chen (CEO &amp; co-founder) leads the company. James Robinson serves as Interim CTO and VP of Engineering; he was promoted from Principal Engineer after Marcus Weiss departed in November 2025, and has been a member of the engineering leadership team since 2021. Priya Shankar joined as Chief Product Officer in August 2025 from Flexport, where she led product for their Platform business. David Patel joined as CRO in April 2023 from SAP Ariba, where he built a global sales team from $0 to $50M in ARR. Elena Vasquez joined as CFO in March 2025 from Coupa, where she was VP of Finance. Kenji Tanaka leads Customer Success; he joined in June 2023 from Gong. Maria Alvarez serves as General Counsel on a part-time (0.6 FTE) basis from Palantir; we intend to move her to full-time after close. Full bios and compensation are in the Org &amp; Headcount Plan workbook.</w:t>
      </w:r>
    </w:p>
    <w:p>
      <w:pPr>
        <w:spacing w:after="80" w:before="200"/>
      </w:pPr>
      <w:r>
        <w:rPr>
          <w:rFonts w:ascii="Inter" w:cs="Inter" w:eastAsia="Inter" w:hAnsi="Inter"/>
          <w:b/>
          <w:bCs/>
          <w:color w:val="0F172A"/>
          <w:sz w:val="20"/>
          <w:szCs w:val="20"/>
        </w:rPr>
        <w:t xml:space="preserve">Q: What happened with the CTO departure and how has it affected the business?</w:t>
      </w:r>
    </w:p>
    <w:p>
      <w:pPr>
        <w:spacing w:after="160" w:line="300"/>
        <w:ind w:left="240"/>
      </w:pPr>
      <w:r>
        <w:rPr>
          <w:rFonts w:ascii="Inter" w:cs="Inter" w:eastAsia="Inter" w:hAnsi="Inter"/>
          <w:b/>
          <w:bCs/>
          <w:color w:val="D97706"/>
          <w:sz w:val="20"/>
          <w:szCs w:val="20"/>
        </w:rPr>
        <w:t xml:space="preserve">A: </w:t>
      </w:r>
      <w:r>
        <w:rPr>
          <w:rFonts w:ascii="Inter" w:cs="Inter" w:eastAsia="Inter" w:hAnsi="Inter"/>
          <w:color w:val="0F172A"/>
          <w:sz w:val="20"/>
          <w:szCs w:val="20"/>
        </w:rPr>
        <w:t xml:space="preserve">Marcus Weiss, our co-founder and CTO, announced his departure on November 14, 2025. He left to take a Head of Infrastructure AI role at Meta, a role he described as a 'once in ten years' opportunity. The separation was amicable; Marcus remains on friendly terms with the leadership team and his founder shares are fully vested. He is subject to a 2-year non-compete and non-solicit and has complied with both. The impact on the business was modest: (1) we lost two senior engineers in Weiss' immediate orbit (a Staff Engineer who followed him to Meta and a Senior ML Engineer who took a competitor offer shortly thereafter, both listed in the attrition log); (2) our Q4 2025 engineering velocity declined roughly 12% measured by merged pull request count, returning to baseline in February 2026; (3) we initiated a CTO search with Heidrick &amp; Struggles in December 2025 and are currently at finals with 3 candidates, one of whom is an internal promotion path. James Robinson has performed well in the interim role and is under consideration for a permanent expansion of his VP Eng mandate alongside whichever CTO we hire.</w:t>
      </w:r>
    </w:p>
    <w:p>
      <w:pPr>
        <w:spacing w:after="80" w:before="200"/>
      </w:pPr>
      <w:r>
        <w:rPr>
          <w:rFonts w:ascii="Inter" w:cs="Inter" w:eastAsia="Inter" w:hAnsi="Inter"/>
          <w:b/>
          <w:bCs/>
          <w:color w:val="0F172A"/>
          <w:sz w:val="20"/>
          <w:szCs w:val="20"/>
        </w:rPr>
        <w:t xml:space="preserve">Q: What is your hiring plan and how are you managing recruiting?</w:t>
      </w:r>
    </w:p>
    <w:p>
      <w:pPr>
        <w:spacing w:after="160" w:line="300"/>
        <w:ind w:left="240"/>
      </w:pPr>
      <w:r>
        <w:rPr>
          <w:rFonts w:ascii="Inter" w:cs="Inter" w:eastAsia="Inter" w:hAnsi="Inter"/>
          <w:b/>
          <w:bCs/>
          <w:color w:val="D97706"/>
          <w:sz w:val="20"/>
          <w:szCs w:val="20"/>
        </w:rPr>
        <w:t xml:space="preserve">A: </w:t>
      </w:r>
      <w:r>
        <w:rPr>
          <w:rFonts w:ascii="Inter" w:cs="Inter" w:eastAsia="Inter" w:hAnsi="Inter"/>
          <w:color w:val="0F172A"/>
          <w:sz w:val="20"/>
          <w:szCs w:val="20"/>
        </w:rPr>
        <w:t xml:space="preserve">We are at 147 FTEs as of March 31, 2026 and plan to reach 248 FTEs by December 31, 2027, implying roughly 101 net hires across 7 quarters. The plan is front-loaded into sales (14 new enterprise AEs by end of FY2026) and engineering (29 net hires across the same period, prioritizing ML and Autopilot). We currently have 15 open reqs (see Org &amp; Headcount Plan Tab 5) with an average time-to-fill of 43 days, down from 71 days this time last year after we brought recruiting in-house and hired two senior tech recruiters. We benchmark compensation to the 65th percentile of the Radford Series B Tech Survey and refresh bands quarterly. Our employee retention dashboard tracks regrettable attrition, which has been 8 regrettable departures over the last twelve months (see Attrition Log).</w:t>
      </w:r>
    </w:p>
    <w:p>
      <w:pPr>
        <w:spacing w:after="80" w:before="200"/>
      </w:pPr>
      <w:r>
        <w:rPr>
          <w:rFonts w:ascii="Inter" w:cs="Inter" w:eastAsia="Inter" w:hAnsi="Inter"/>
          <w:b/>
          <w:bCs/>
          <w:color w:val="0F172A"/>
          <w:sz w:val="20"/>
          <w:szCs w:val="20"/>
        </w:rPr>
        <w:t xml:space="preserve">Q: What is your employee equity program and how much dilution is left?</w:t>
      </w:r>
    </w:p>
    <w:p>
      <w:pPr>
        <w:spacing w:after="160" w:line="300"/>
        <w:ind w:left="240"/>
      </w:pPr>
      <w:r>
        <w:rPr>
          <w:rFonts w:ascii="Inter" w:cs="Inter" w:eastAsia="Inter" w:hAnsi="Inter"/>
          <w:b/>
          <w:bCs/>
          <w:color w:val="D97706"/>
          <w:sz w:val="20"/>
          <w:szCs w:val="20"/>
        </w:rPr>
        <w:t xml:space="preserve">A: </w:t>
      </w:r>
      <w:r>
        <w:rPr>
          <w:rFonts w:ascii="Inter" w:cs="Inter" w:eastAsia="Inter" w:hAnsi="Inter"/>
          <w:color w:val="0F172A"/>
          <w:sz w:val="20"/>
          <w:szCs w:val="20"/>
        </w:rPr>
        <w:t xml:space="preserve">We operate a standard ISO/NSO plan with 4-year vesting and a 1-year cliff. The current option pool represents 13.2% of fully diluted shares on a pre-Series B basis, of which 11.4% is committed to existing grants, leaving 1.8% available for hiring. The Series B round contemplates a pool refresh of 12% of post-money fully diluted, which is a customary pre-money adjustment. After the refresh, we project the pool to carry the company through FY2027 hiring without a further refresh, based on our hiring plan and our standard grant guidelines. The Cap Table &amp; Waterfall workbook contains the full equity waterfall, including the top 10 optionees and founder vesting schedules.</w:t>
      </w:r>
    </w:p>
    <w:p>
      <w:r>
        <w:br w:type="page"/>
      </w:r>
    </w:p>
    <w:p>
      <w:pPr>
        <w:pStyle w:val="Heading1"/>
        <w:spacing w:after="180" w:before="360"/>
      </w:pPr>
      <w:r>
        <w:rPr>
          <w:rFonts w:ascii="Inter" w:cs="Inter" w:eastAsia="Inter" w:hAnsi="Inter"/>
          <w:b/>
          <w:bCs/>
          <w:color w:val="1E2761"/>
          <w:sz w:val="32"/>
          <w:szCs w:val="32"/>
        </w:rPr>
        <w:t xml:space="preserve">7. Risk &amp; Compliance</w:t>
      </w:r>
    </w:p>
    <w:p>
      <w:pPr>
        <w:spacing w:after="80" w:before="200"/>
      </w:pPr>
      <w:r>
        <w:rPr>
          <w:rFonts w:ascii="Inter" w:cs="Inter" w:eastAsia="Inter" w:hAnsi="Inter"/>
          <w:b/>
          <w:bCs/>
          <w:color w:val="0F172A"/>
          <w:sz w:val="20"/>
          <w:szCs w:val="20"/>
        </w:rPr>
        <w:t xml:space="preserve">Q: What are the top risks to the business and how are you mitigating them?</w:t>
      </w:r>
    </w:p>
    <w:p>
      <w:pPr>
        <w:spacing w:after="160" w:line="300"/>
        <w:ind w:left="240"/>
      </w:pPr>
      <w:r>
        <w:rPr>
          <w:rFonts w:ascii="Inter" w:cs="Inter" w:eastAsia="Inter" w:hAnsi="Inter"/>
          <w:b/>
          <w:bCs/>
          <w:color w:val="D97706"/>
          <w:sz w:val="20"/>
          <w:szCs w:val="20"/>
        </w:rPr>
        <w:t xml:space="preserve">A: </w:t>
      </w:r>
      <w:r>
        <w:rPr>
          <w:rFonts w:ascii="Inter" w:cs="Inter" w:eastAsia="Inter" w:hAnsi="Inter"/>
          <w:color w:val="0F172A"/>
          <w:sz w:val="20"/>
          <w:szCs w:val="20"/>
        </w:rPr>
        <w:t xml:space="preserve">We have identified six top risks, which are summarized in the Risk Register (see Legal &amp; Compliance folder) and also summarized here: (1) customer concentration, mitigated by multi-year contracts, strong champion relationships, and active new-logo acquisition; (2) the CTO search — mitigated by James Robinson's proven interim leadership and the Heidrick search now at finals; (3) gross margin compression from Autopilot inference costs — being addressed by the cloud optimization initiatives described earlier; (4) Magic Number softness during ramp — expected to resolve as new AEs reach productivity by mid-FY2026; (5) hyperscaler GenAI agent competition — monitored and mitigated by our cross-system orchestration and data moat; (6) key-person dependency on Sarah Chen — mitigated by a strong independent board, a seasoned executive team, and comprehensive IP assignment agreements. Each risk has a documented mitigation plan, an owner, and a review cadence.</w:t>
      </w:r>
    </w:p>
    <w:p>
      <w:pPr>
        <w:spacing w:after="80" w:before="200"/>
      </w:pPr>
      <w:r>
        <w:rPr>
          <w:rFonts w:ascii="Inter" w:cs="Inter" w:eastAsia="Inter" w:hAnsi="Inter"/>
          <w:b/>
          <w:bCs/>
          <w:color w:val="0F172A"/>
          <w:sz w:val="20"/>
          <w:szCs w:val="20"/>
        </w:rPr>
        <w:t xml:space="preserve">Q: Tell us about the Flexport IP dispute.</w:t>
      </w:r>
    </w:p>
    <w:p>
      <w:pPr>
        <w:spacing w:after="160" w:line="300"/>
        <w:ind w:left="240"/>
      </w:pPr>
      <w:r>
        <w:rPr>
          <w:rFonts w:ascii="Inter" w:cs="Inter" w:eastAsia="Inter" w:hAnsi="Inter"/>
          <w:b/>
          <w:bCs/>
          <w:color w:val="D97706"/>
          <w:sz w:val="20"/>
          <w:szCs w:val="20"/>
        </w:rPr>
        <w:t xml:space="preserve">A: </w:t>
      </w:r>
      <w:r>
        <w:rPr>
          <w:rFonts w:ascii="Inter" w:cs="Inter" w:eastAsia="Inter" w:hAnsi="Inter"/>
          <w:color w:val="0F172A"/>
          <w:sz w:val="20"/>
          <w:szCs w:val="20"/>
        </w:rPr>
        <w:t xml:space="preserve">On November 8, 2025, Arcus received a cease-and-desist letter from Flexport alleging that Arcus's trade-lane optimization capability infringed US Patent 11,423,901, which Flexport had acquired in their 2024 purchase of a smaller logistics software company. We retained Wilson Sonsini Goodrich &amp; Rosati (Bill Choi, partner) to evaluate the claim. WSGR's opinion, dated December 19, 2025, concluded that Arcus's technology does not infringe the claims of the '901 patent for two reasons: first, our optimization algorithm uses a fundamentally different graph-theoretic approach; and second, our implementation operates on shipment-level data rather than the network-level data covered by the patent's claims. We shared the WSGR opinion with Flexport's counsel in January 2026. On February 7, 2026, the parties executed a mutual release and covenant-not-to-sue, with no payment in either direction. The release is in the Legal &amp; Compliance folder. No litigation was ever filed. We believe the matter is fully resolved.</w:t>
      </w:r>
    </w:p>
    <w:p>
      <w:pPr>
        <w:spacing w:after="80" w:before="200"/>
      </w:pPr>
      <w:r>
        <w:rPr>
          <w:rFonts w:ascii="Inter" w:cs="Inter" w:eastAsia="Inter" w:hAnsi="Inter"/>
          <w:b/>
          <w:bCs/>
          <w:color w:val="0F172A"/>
          <w:sz w:val="20"/>
          <w:szCs w:val="20"/>
        </w:rPr>
        <w:t xml:space="preserve">Q: What security and compliance certifications do you hold?</w:t>
      </w:r>
    </w:p>
    <w:p>
      <w:pPr>
        <w:spacing w:after="160" w:line="300"/>
        <w:ind w:left="240"/>
      </w:pPr>
      <w:r>
        <w:rPr>
          <w:rFonts w:ascii="Inter" w:cs="Inter" w:eastAsia="Inter" w:hAnsi="Inter"/>
          <w:b/>
          <w:bCs/>
          <w:color w:val="D97706"/>
          <w:sz w:val="20"/>
          <w:szCs w:val="20"/>
        </w:rPr>
        <w:t xml:space="preserve">A: </w:t>
      </w:r>
      <w:r>
        <w:rPr>
          <w:rFonts w:ascii="Inter" w:cs="Inter" w:eastAsia="Inter" w:hAnsi="Inter"/>
          <w:color w:val="0F172A"/>
          <w:sz w:val="20"/>
          <w:szCs w:val="20"/>
        </w:rPr>
        <w:t xml:space="preserve">Arcus holds SOC 2 Type II (renewed January 2025, next audit Q1 2027) and ISO 27001 (awarded September 2025). We are GDPR-compliant with a documented data-subject rights process, CCPA-compliant, and HIPAA-ready with a BAA available for covered entity customers (Orion Pharma Distribution is our first HIPAA deployment). We are currently in readiness for FedRAMP Moderate and expect to submit our 3PAO audit package in Q4 2026, with authorization targeted for late 2026 or early 2027 — this is being driven by a specific federal government prospect that has advanced to Stage 4 of our pipeline. All certifications, reports, and underlying policies are in the Compliance folder of the data room.</w:t>
      </w:r>
    </w:p>
    <w:p>
      <w:pPr>
        <w:spacing w:after="80" w:before="200"/>
      </w:pPr>
      <w:r>
        <w:rPr>
          <w:rFonts w:ascii="Inter" w:cs="Inter" w:eastAsia="Inter" w:hAnsi="Inter"/>
          <w:b/>
          <w:bCs/>
          <w:color w:val="0F172A"/>
          <w:sz w:val="20"/>
          <w:szCs w:val="20"/>
        </w:rPr>
        <w:t xml:space="preserve">Q: What insurance do you carry?</w:t>
      </w:r>
    </w:p>
    <w:p>
      <w:pPr>
        <w:spacing w:after="160" w:line="300"/>
        <w:ind w:left="240"/>
      </w:pPr>
      <w:r>
        <w:rPr>
          <w:rFonts w:ascii="Inter" w:cs="Inter" w:eastAsia="Inter" w:hAnsi="Inter"/>
          <w:b/>
          <w:bCs/>
          <w:color w:val="D97706"/>
          <w:sz w:val="20"/>
          <w:szCs w:val="20"/>
        </w:rPr>
        <w:t xml:space="preserve">A: </w:t>
      </w:r>
      <w:r>
        <w:rPr>
          <w:rFonts w:ascii="Inter" w:cs="Inter" w:eastAsia="Inter" w:hAnsi="Inter"/>
          <w:color w:val="0F172A"/>
          <w:sz w:val="20"/>
          <w:szCs w:val="20"/>
        </w:rPr>
        <w:t xml:space="preserve">We maintain Directors &amp; Officers ($10M), Errors &amp; Omissions / Technology Professional Liability ($10M), General Liability ($5M), Employment Practices Liability ($5M), Cyber Liability ($15M including ransomware and first-party coverage), and Workers Compensation as required by state. Insurance is placed through Marsh &amp; McLennan with quarterly reviews by Maria Alvarez (General Counsel) and annual benchmarking against industry standards. Certificates of insurance and policy declarations are in the Corporate folder.</w:t>
      </w:r>
    </w:p>
    <w:p>
      <w:r>
        <w:br w:type="page"/>
      </w:r>
    </w:p>
    <w:p>
      <w:pPr>
        <w:pStyle w:val="Heading1"/>
        <w:spacing w:after="180" w:before="360"/>
      </w:pPr>
      <w:r>
        <w:rPr>
          <w:rFonts w:ascii="Inter" w:cs="Inter" w:eastAsia="Inter" w:hAnsi="Inter"/>
          <w:b/>
          <w:bCs/>
          <w:color w:val="1E2761"/>
          <w:sz w:val="32"/>
          <w:szCs w:val="32"/>
        </w:rPr>
        <w:t xml:space="preserve">8. Transaction</w:t>
      </w:r>
    </w:p>
    <w:p>
      <w:pPr>
        <w:spacing w:after="80" w:before="200"/>
      </w:pPr>
      <w:r>
        <w:rPr>
          <w:rFonts w:ascii="Inter" w:cs="Inter" w:eastAsia="Inter" w:hAnsi="Inter"/>
          <w:b/>
          <w:bCs/>
          <w:color w:val="0F172A"/>
          <w:sz w:val="20"/>
          <w:szCs w:val="20"/>
        </w:rPr>
        <w:t xml:space="preserve">Q: Why are you raising capital now?</w:t>
      </w:r>
    </w:p>
    <w:p>
      <w:pPr>
        <w:spacing w:after="160" w:line="300"/>
        <w:ind w:left="240"/>
      </w:pPr>
      <w:r>
        <w:rPr>
          <w:rFonts w:ascii="Inter" w:cs="Inter" w:eastAsia="Inter" w:hAnsi="Inter"/>
          <w:b/>
          <w:bCs/>
          <w:color w:val="D97706"/>
          <w:sz w:val="20"/>
          <w:szCs w:val="20"/>
        </w:rPr>
        <w:t xml:space="preserve">A: </w:t>
      </w:r>
      <w:r>
        <w:rPr>
          <w:rFonts w:ascii="Inter" w:cs="Inter" w:eastAsia="Inter" w:hAnsi="Inter"/>
          <w:color w:val="0F172A"/>
          <w:sz w:val="20"/>
          <w:szCs w:val="20"/>
        </w:rPr>
        <w:t xml:space="preserve">Three reasons. First, we have a provably working GTM engine (Enterprise LTV/CAC of 10.7×, NRR of 134%) that is under-capitalized relative to the market opportunity — the binding constraint on our growth is sales capacity, not demand. Second, the competitive window for establishing a category-defining supply chain AI platform is now, before hyperscaler agents mature and before the incumbent ERPs release credible GenAI offerings. Third, we want a capital partner who can support us through the $100M ARR milestone and into a potential IPO in FY2029; a $45M Series B with a strong growth-stage lead gives us the runway and the board support to execute against that plan.</w:t>
      </w:r>
    </w:p>
    <w:p>
      <w:pPr>
        <w:spacing w:after="80" w:before="200"/>
      </w:pPr>
      <w:r>
        <w:rPr>
          <w:rFonts w:ascii="Inter" w:cs="Inter" w:eastAsia="Inter" w:hAnsi="Inter"/>
          <w:b/>
          <w:bCs/>
          <w:color w:val="0F172A"/>
          <w:sz w:val="20"/>
          <w:szCs w:val="20"/>
        </w:rPr>
        <w:t xml:space="preserve">Q: What is the use of proceeds?</w:t>
      </w:r>
    </w:p>
    <w:p>
      <w:pPr>
        <w:spacing w:after="160" w:line="300"/>
        <w:ind w:left="240"/>
      </w:pPr>
      <w:r>
        <w:rPr>
          <w:rFonts w:ascii="Inter" w:cs="Inter" w:eastAsia="Inter" w:hAnsi="Inter"/>
          <w:b/>
          <w:bCs/>
          <w:color w:val="D97706"/>
          <w:sz w:val="20"/>
          <w:szCs w:val="20"/>
        </w:rPr>
        <w:t xml:space="preserve">A: </w:t>
      </w:r>
      <w:r>
        <w:rPr>
          <w:rFonts w:ascii="Inter" w:cs="Inter" w:eastAsia="Inter" w:hAnsi="Inter"/>
          <w:color w:val="0F172A"/>
          <w:sz w:val="20"/>
          <w:szCs w:val="20"/>
        </w:rPr>
        <w:t xml:space="preserve">$20.3M (45%) to Sales &amp; Marketing: 14 net-new enterprise AEs, 3 sales engineers, brand and demand generation, Gartner and Forrester analyst relations, and event sponsorships (Gartner Supply Chain Symposium, NRF, Manifest). $13.5M (30%) to Engineering &amp; Product: ML platform scale, Autopilot agent framework expansion, 12 additional engineers across Signal and Autopilot pods, and the full-time CTO hire. $4.5M (10%) to General &amp; Administrative: finance, legal, people ops, and IT as we scale to 248 FTEs. $6.7M (15%) to working capital and strategic reserves. Full allocation is shown in the Financial Model Tab 8.</w:t>
      </w:r>
    </w:p>
    <w:p>
      <w:pPr>
        <w:spacing w:after="80" w:before="200"/>
      </w:pPr>
      <w:r>
        <w:rPr>
          <w:rFonts w:ascii="Inter" w:cs="Inter" w:eastAsia="Inter" w:hAnsi="Inter"/>
          <w:b/>
          <w:bCs/>
          <w:color w:val="0F172A"/>
          <w:sz w:val="20"/>
          <w:szCs w:val="20"/>
        </w:rPr>
        <w:t xml:space="preserve">Q: What are the key terms you are seeking?</w:t>
      </w:r>
    </w:p>
    <w:p>
      <w:pPr>
        <w:spacing w:after="160" w:line="300"/>
        <w:ind w:left="240"/>
      </w:pPr>
      <w:r>
        <w:rPr>
          <w:rFonts w:ascii="Inter" w:cs="Inter" w:eastAsia="Inter" w:hAnsi="Inter"/>
          <w:b/>
          <w:bCs/>
          <w:color w:val="D97706"/>
          <w:sz w:val="20"/>
          <w:szCs w:val="20"/>
        </w:rPr>
        <w:t xml:space="preserve">A: </w:t>
      </w:r>
      <w:r>
        <w:rPr>
          <w:rFonts w:ascii="Inter" w:cs="Inter" w:eastAsia="Inter" w:hAnsi="Inter"/>
          <w:color w:val="0F172A"/>
          <w:sz w:val="20"/>
          <w:szCs w:val="20"/>
        </w:rPr>
        <w:t xml:space="preserve">$45M primary at $220M pre-money / $265M post-money. 1× non-participating preferred with a standard weighted-average anti-dilution provision. Standard NVCA documents with customary protective provisions. One board seat for the lead investor plus one observer seat; existing board composition otherwise preserved. Standard information rights, pro-rata rights, registration rights, and right of first refusal on secondary transfers. Customary founder and employee vesting with single-trigger acceleration on termination following a change of control and double-trigger otherwise. We expect to close by June 15, 2026. Detailed term sheet and cap table scenarios are in the Cap Table &amp; Waterfall workbook.</w:t>
      </w:r>
    </w:p>
    <w:p>
      <w:pPr>
        <w:spacing w:after="80" w:before="200"/>
      </w:pPr>
      <w:r>
        <w:rPr>
          <w:rFonts w:ascii="Inter" w:cs="Inter" w:eastAsia="Inter" w:hAnsi="Inter"/>
          <w:b/>
          <w:bCs/>
          <w:color w:val="0F172A"/>
          <w:sz w:val="20"/>
          <w:szCs w:val="20"/>
        </w:rPr>
        <w:t xml:space="preserve">Q: Who else has looked at this round?</w:t>
      </w:r>
    </w:p>
    <w:p>
      <w:pPr>
        <w:spacing w:after="160" w:line="300"/>
        <w:ind w:left="240"/>
      </w:pPr>
      <w:r>
        <w:rPr>
          <w:rFonts w:ascii="Inter" w:cs="Inter" w:eastAsia="Inter" w:hAnsi="Inter"/>
          <w:b/>
          <w:bCs/>
          <w:color w:val="D97706"/>
          <w:sz w:val="20"/>
          <w:szCs w:val="20"/>
        </w:rPr>
        <w:t xml:space="preserve">A: </w:t>
      </w:r>
      <w:r>
        <w:rPr>
          <w:rFonts w:ascii="Inter" w:cs="Inter" w:eastAsia="Inter" w:hAnsi="Inter"/>
          <w:color w:val="0F172A"/>
          <w:sz w:val="20"/>
          <w:szCs w:val="20"/>
        </w:rPr>
        <w:t xml:space="preserve">We engaged in exploratory conversations with six growth-stage firms beginning in late January 2026 and received three term sheets. 3i Growth Partners emerged as our preferred partner based on their supply chain domain expertise, the quality of their portfolio company references, and the constructive nature of diligence engagement to date. The other two term sheets were from a generalist multi-stage firm and a vertical-focused software firm, both of which remain in informal contact. We are not currently running a competitive process for the primary lead but will preserve optionality through the due diligence period. The two existing lead investors — Accel (Seed and Series A) and Insight Partners (Series A-1) — have committed to pro-rata in the Series B, contributing approximately $9M in aggregate.</w:t>
      </w:r>
    </w:p>
    <w:p>
      <w:pPr>
        <w:spacing w:after="80" w:before="200"/>
      </w:pPr>
      <w:r>
        <w:rPr>
          <w:rFonts w:ascii="Inter" w:cs="Inter" w:eastAsia="Inter" w:hAnsi="Inter"/>
          <w:b/>
          <w:bCs/>
          <w:color w:val="0F172A"/>
          <w:sz w:val="20"/>
          <w:szCs w:val="20"/>
        </w:rPr>
        <w:t xml:space="preserve">Q: What does success look like 18 months post-close?</w:t>
      </w:r>
    </w:p>
    <w:p>
      <w:pPr>
        <w:spacing w:after="160" w:line="300"/>
        <w:ind w:left="240"/>
      </w:pPr>
      <w:r>
        <w:rPr>
          <w:rFonts w:ascii="Inter" w:cs="Inter" w:eastAsia="Inter" w:hAnsi="Inter"/>
          <w:b/>
          <w:bCs/>
          <w:color w:val="D97706"/>
          <w:sz w:val="20"/>
          <w:szCs w:val="20"/>
        </w:rPr>
        <w:t xml:space="preserve">A: </w:t>
      </w:r>
      <w:r>
        <w:rPr>
          <w:rFonts w:ascii="Inter" w:cs="Inter" w:eastAsia="Inter" w:hAnsi="Inter"/>
          <w:color w:val="0F172A"/>
          <w:sz w:val="20"/>
          <w:szCs w:val="20"/>
        </w:rPr>
        <w:t xml:space="preserve">By Q3 2027 we expect to be at approximately $52M ARR, having added approximately 85 net-new logos and expanded existing accounts at a continued NRR of 130%+. Autopilot will be in production at 60+ customers, of which 15 will be on outcome-based pricing. We will have achieved 80% gross margin run-rate. The full-time CTO will be in place and the engineering organization will be at 97 FTEs (from 68 today). S&amp;M productivity will have normalized with Magic Number back above 0.90. Burn will have declined from $2.0M/month today to approximately $1.5M/month as revenue scales, and we will be tracking toward operating profitability in FY2029. Most importantly, we will have used the partnership with 3i to accelerate decisions that would have otherwise been deferred and to access pattern recognition from the 3i portfolio on questions of org design, pricing, and international expansion. That is the success criterion.</w:t>
      </w:r>
    </w:p>
    <w:p>
      <w:r>
        <w:br w:type="page"/>
      </w:r>
    </w:p>
    <w:p>
      <w:pPr>
        <w:pStyle w:val="Heading1"/>
        <w:spacing w:after="180" w:before="360"/>
      </w:pPr>
      <w:r>
        <w:rPr>
          <w:rFonts w:ascii="Inter" w:cs="Inter" w:eastAsia="Inter" w:hAnsi="Inter"/>
          <w:b/>
          <w:bCs/>
          <w:color w:val="1E2761"/>
          <w:sz w:val="32"/>
          <w:szCs w:val="32"/>
        </w:rPr>
        <w:t xml:space="preserve">Appendix — Cross References</w:t>
      </w:r>
    </w:p>
    <w:p>
      <w:pPr>
        <w:spacing w:after="120" w:line="300"/>
      </w:pPr>
      <w:r>
        <w:rPr>
          <w:rFonts w:ascii="Inter" w:cs="Inter" w:eastAsia="Inter" w:hAnsi="Inter"/>
          <w:color w:val="0F172A"/>
          <w:sz w:val="20"/>
          <w:szCs w:val="20"/>
        </w:rPr>
        <w:t xml:space="preserve">Where this document references supporting materials, those materials are located in the data room as follows:</w:t>
      </w:r>
    </w:p>
    <w:p>
      <w:pPr>
        <w:pStyle w:val="ListParagraph"/>
        <w:numPr>
          <w:ilvl w:val="0"/>
          <w:numId w:val="2"/>
        </w:numPr>
        <w:spacing w:after="60"/>
      </w:pPr>
      <w:r>
        <w:rPr>
          <w:rFonts w:ascii="Inter" w:cs="Inter" w:eastAsia="Inter" w:hAnsi="Inter"/>
          <w:color w:val="0F172A"/>
          <w:sz w:val="20"/>
          <w:szCs w:val="20"/>
        </w:rPr>
        <w:t xml:space="preserve">Financial Model — see Arcus — Financial Model.xlsx</w:t>
      </w:r>
    </w:p>
    <w:p>
      <w:pPr>
        <w:pStyle w:val="ListParagraph"/>
        <w:numPr>
          <w:ilvl w:val="0"/>
          <w:numId w:val="2"/>
        </w:numPr>
        <w:spacing w:after="60"/>
      </w:pPr>
      <w:r>
        <w:rPr>
          <w:rFonts w:ascii="Inter" w:cs="Inter" w:eastAsia="Inter" w:hAnsi="Inter"/>
          <w:color w:val="0F172A"/>
          <w:sz w:val="20"/>
          <w:szCs w:val="20"/>
        </w:rPr>
        <w:t xml:space="preserve">Customer &amp; Pipeline Data — see Arcus — Customer &amp; Pipeline Data.xlsx</w:t>
      </w:r>
    </w:p>
    <w:p>
      <w:pPr>
        <w:pStyle w:val="ListParagraph"/>
        <w:numPr>
          <w:ilvl w:val="0"/>
          <w:numId w:val="2"/>
        </w:numPr>
        <w:spacing w:after="60"/>
      </w:pPr>
      <w:r>
        <w:rPr>
          <w:rFonts w:ascii="Inter" w:cs="Inter" w:eastAsia="Inter" w:hAnsi="Inter"/>
          <w:color w:val="0F172A"/>
          <w:sz w:val="20"/>
          <w:szCs w:val="20"/>
        </w:rPr>
        <w:t xml:space="preserve">Cap Table &amp; Equity Waterfall — see Arcus — Cap Table &amp; Waterfall.xlsx</w:t>
      </w:r>
    </w:p>
    <w:p>
      <w:pPr>
        <w:pStyle w:val="ListParagraph"/>
        <w:numPr>
          <w:ilvl w:val="0"/>
          <w:numId w:val="2"/>
        </w:numPr>
        <w:spacing w:after="60"/>
      </w:pPr>
      <w:r>
        <w:rPr>
          <w:rFonts w:ascii="Inter" w:cs="Inter" w:eastAsia="Inter" w:hAnsi="Inter"/>
          <w:color w:val="0F172A"/>
          <w:sz w:val="20"/>
          <w:szCs w:val="20"/>
        </w:rPr>
        <w:t xml:space="preserve">Organization &amp; Headcount Plan — see Arcus — Org &amp; Headcount Plan.xlsx</w:t>
      </w:r>
    </w:p>
    <w:p>
      <w:pPr>
        <w:pStyle w:val="ListParagraph"/>
        <w:numPr>
          <w:ilvl w:val="0"/>
          <w:numId w:val="2"/>
        </w:numPr>
        <w:spacing w:after="60"/>
      </w:pPr>
      <w:r>
        <w:rPr>
          <w:rFonts w:ascii="Inter" w:cs="Inter" w:eastAsia="Inter" w:hAnsi="Inter"/>
          <w:color w:val="0F172A"/>
          <w:sz w:val="20"/>
          <w:szCs w:val="20"/>
        </w:rPr>
        <w:t xml:space="preserve">Management Presentation (CIM) — see Arcus — Management Presentation.html</w:t>
      </w:r>
    </w:p>
    <w:p>
      <w:pPr>
        <w:pStyle w:val="ListParagraph"/>
        <w:numPr>
          <w:ilvl w:val="0"/>
          <w:numId w:val="2"/>
        </w:numPr>
        <w:spacing w:after="60"/>
      </w:pPr>
      <w:r>
        <w:rPr>
          <w:rFonts w:ascii="Inter" w:cs="Inter" w:eastAsia="Inter" w:hAnsi="Inter"/>
          <w:color w:val="0F172A"/>
          <w:sz w:val="20"/>
          <w:szCs w:val="20"/>
        </w:rPr>
        <w:t xml:space="preserve">Board Minutes &amp; Resolutions — see Arcus — Board Minutes &amp; Resolutions.docx</w:t>
      </w:r>
    </w:p>
    <w:p>
      <w:pPr>
        <w:pStyle w:val="ListParagraph"/>
        <w:numPr>
          <w:ilvl w:val="0"/>
          <w:numId w:val="2"/>
        </w:numPr>
        <w:spacing w:after="60"/>
      </w:pPr>
      <w:r>
        <w:rPr>
          <w:rFonts w:ascii="Inter" w:cs="Inter" w:eastAsia="Inter" w:hAnsi="Inter"/>
          <w:color w:val="0F172A"/>
          <w:sz w:val="20"/>
          <w:szCs w:val="20"/>
        </w:rPr>
        <w:t xml:space="preserve">Sample Customer Agreement — see Arcus — Sample MSA (Meridian Form).docx</w:t>
      </w:r>
    </w:p>
    <w:p>
      <w:pPr>
        <w:spacing w:after="120"/>
      </w:pPr>
      <w:r>
        <w:t xml:space="preserve"/>
      </w:r>
    </w:p>
    <w:p>
      <w:pPr>
        <w:spacing w:after="100"/>
      </w:pPr>
      <w:r>
        <w:rPr>
          <w:rFonts w:ascii="Inter" w:cs="Inter" w:eastAsia="Inter" w:hAnsi="Inter"/>
          <w:i/>
          <w:iCs/>
          <w:color w:val="6B7280"/>
          <w:sz w:val="18"/>
          <w:szCs w:val="18"/>
        </w:rPr>
        <w:t xml:space="preserve">This document is confidential and prepared solely for the purpose of evaluating a proposed financing transaction. It should not be reproduced, distributed, or used for any other purpose without the prior written consent of Arcus, Inc.</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tabs>
        <w:tab w:val="right" w:pos="9360"/>
      </w:tabs>
    </w:pPr>
    <w:r>
      <w:rPr>
        <w:rFonts w:ascii="Inter" w:cs="Inter" w:eastAsia="Inter" w:hAnsi="Inter"/>
        <w:color w:val="6B7280"/>
        <w:sz w:val="16"/>
        <w:szCs w:val="16"/>
      </w:rPr>
      <w:t xml:space="preserve">Project Atlas</w:t>
    </w:r>
    <w:r>
      <w:rPr>
        <w:rFonts w:ascii="Inter" w:cs="Inter" w:eastAsia="Inter" w:hAnsi="Inter"/>
        <w:color w:val="6B7280"/>
        <w:sz w:val="16"/>
        <w:szCs w:val="16"/>
      </w:rPr>
      <w:t xml:space="preserve">	Page </w:t>
    </w:r>
    <w:r>
      <w:rPr>
        <w:rFonts w:ascii="Inter" w:cs="Inter" w:eastAsia="Inter" w:hAnsi="Inter"/>
        <w:color w:val="6B7280"/>
        <w:sz w:val="16"/>
        <w:szCs w:val="16"/>
      </w:rPr>
      <w:fldChar w:fldCharType="begin"/>
      <w:instrText xml:space="preserve">PAGE</w:instrText>
      <w:fldChar w:fldCharType="separate"/>
      <w:fldChar w:fldCharType="end"/>
    </w:r>
    <w:r>
      <w:rPr>
        <w:rFonts w:ascii="Inter" w:cs="Inter" w:eastAsia="Inter" w:hAnsi="Inter"/>
        <w:color w:val="6B7280"/>
        <w:sz w:val="16"/>
        <w:szCs w:val="16"/>
      </w:rPr>
      <w:t xml:space="preserve"> of </w:t>
    </w:r>
    <w:r>
      <w:rPr>
        <w:rFonts w:ascii="Inter" w:cs="Inter" w:eastAsia="Inter" w:hAnsi="Inter"/>
        <w:color w:val="6B7280"/>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tabs>
        <w:tab w:val="right" w:pos="9360"/>
      </w:tabs>
    </w:pPr>
    <w:r>
      <w:rPr>
        <w:rFonts w:ascii="Inter" w:cs="Inter" w:eastAsia="Inter" w:hAnsi="Inter"/>
        <w:b/>
        <w:bCs/>
        <w:color w:val="6B7280"/>
        <w:sz w:val="16"/>
        <w:szCs w:val="16"/>
      </w:rPr>
      <w:t xml:space="preserve">ARCUS, INC.</w:t>
    </w:r>
    <w:r>
      <w:rPr>
        <w:rFonts w:ascii="Inter" w:cs="Inter" w:eastAsia="Inter" w:hAnsi="Inter"/>
        <w:color w:val="6B7280"/>
        <w:sz w:val="16"/>
        <w:szCs w:val="16"/>
      </w:rPr>
      <w:t xml:space="preserve">	Management Q&amp;A · Strictly Confidential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Inter" w:cs="Inter" w:eastAsia="Inter" w:hAnsi="Inter"/>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80" w:before="360"/>
      <w:outlineLvl w:val="0"/>
    </w:pPr>
    <w:rPr>
      <w:rFonts w:ascii="Inter" w:cs="Inter" w:eastAsia="Inter" w:hAnsi="Inter"/>
      <w:b/>
      <w:bCs/>
      <w:color w:val="1E2761"/>
      <w:sz w:val="32"/>
      <w:szCs w:val="32"/>
    </w:rPr>
  </w:style>
  <w:style w:type="paragraph" w:styleId="Heading2">
    <w:name w:val="Heading 2"/>
    <w:basedOn w:val="Normal"/>
    <w:next w:val="Normal"/>
    <w:qFormat/>
    <w:pPr>
      <w:spacing w:after="120" w:before="240"/>
      <w:outlineLvl w:val="1"/>
    </w:pPr>
    <w:rPr>
      <w:rFonts w:ascii="Inter" w:cs="Inter" w:eastAsia="Inter" w:hAnsi="Inter"/>
      <w:b/>
      <w:bCs/>
      <w:color w:val="1E2761"/>
      <w:sz w:val="26"/>
      <w:szCs w:val="26"/>
    </w:rPr>
  </w:style>
  <w:style w:type="paragraph" w:styleId="Heading3">
    <w:name w:val="Heading 3"/>
    <w:basedOn w:val="Normal"/>
    <w:next w:val="Normal"/>
    <w:qFormat/>
    <w:pPr>
      <w:spacing w:after="80" w:before="200"/>
      <w:outlineLvl w:val="2"/>
    </w:pPr>
    <w:rPr>
      <w:rFonts w:ascii="Inter" w:cs="Inter" w:eastAsia="Inter" w:hAnsi="Inter"/>
      <w:b/>
      <w:bCs/>
      <w:color w:val="D97706"/>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Arcus — Management Q&amp;A</dc:title>
  <dc:creator>Arcus Management</dc:creator>
  <cp:lastModifiedBy>Un-named</cp:lastModifiedBy>
  <cp:revision>1</cp:revision>
  <dcterms:created xsi:type="dcterms:W3CDTF">2026-04-08T20:49:44.552Z</dcterms:created>
  <dcterms:modified xsi:type="dcterms:W3CDTF">2026-04-08T20:49:44.552Z</dcterms:modified>
</cp:coreProperties>
</file>

<file path=docProps/custom.xml><?xml version="1.0" encoding="utf-8"?>
<Properties xmlns="http://schemas.openxmlformats.org/officeDocument/2006/custom-properties" xmlns:vt="http://schemas.openxmlformats.org/officeDocument/2006/docPropsVTypes"/>
</file>